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bookmarkStart w:id="0" w:name="_GoBack"/>
      <w:bookmarkEnd w:id="0"/>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5660DA" w:rsidP="004C7868">
            <w:pPr>
              <w:pStyle w:val="FileNumber0"/>
              <w:rPr>
                <w:sz w:val="28"/>
                <w:u w:val="single"/>
                <w:rtl/>
              </w:rPr>
            </w:pPr>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5660DA">
            <w:pPr>
              <w:pStyle w:val="FileNumber"/>
              <w:rPr>
                <w:sz w:val="28"/>
                <w:szCs w:val="28"/>
              </w:rPr>
            </w:pPr>
            <w:bookmarkStart w:id="1" w:name="casename_body"/>
            <w:r>
              <w:rPr>
                <w:sz w:val="28"/>
                <w:szCs w:val="28"/>
                <w:rtl/>
              </w:rPr>
              <w:t>ע"פ  3992/22</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5660DA">
            <w:pPr>
              <w:pStyle w:val="BodyRuller"/>
            </w:pPr>
            <w:r>
              <w:rPr>
                <w:rtl/>
              </w:rPr>
              <w:t>כבוד השופט י' אלרון</w:t>
            </w:r>
          </w:p>
        </w:tc>
      </w:tr>
      <w:tr w:rsidR="005660DA" w:rsidTr="00EC23AC">
        <w:trPr>
          <w:trHeight w:val="287"/>
        </w:trPr>
        <w:tc>
          <w:tcPr>
            <w:tcW w:w="3261" w:type="dxa"/>
          </w:tcPr>
          <w:p w:rsidR="005660DA" w:rsidRDefault="005660DA">
            <w:pPr>
              <w:pStyle w:val="BodyRuller"/>
              <w:rPr>
                <w:rtl/>
              </w:rPr>
            </w:pPr>
          </w:p>
        </w:tc>
        <w:tc>
          <w:tcPr>
            <w:tcW w:w="5239" w:type="dxa"/>
          </w:tcPr>
          <w:p w:rsidR="005660DA" w:rsidRDefault="005660DA">
            <w:pPr>
              <w:pStyle w:val="BodyRuller"/>
              <w:rPr>
                <w:rtl/>
              </w:rPr>
            </w:pPr>
            <w:r>
              <w:rPr>
                <w:rtl/>
              </w:rPr>
              <w:t>כבוד השופט ח' כבוב</w:t>
            </w:r>
          </w:p>
        </w:tc>
      </w:tr>
      <w:tr w:rsidR="005660DA" w:rsidTr="00EC23AC">
        <w:trPr>
          <w:trHeight w:val="287"/>
        </w:trPr>
        <w:tc>
          <w:tcPr>
            <w:tcW w:w="3261" w:type="dxa"/>
          </w:tcPr>
          <w:p w:rsidR="005660DA" w:rsidRDefault="005660DA">
            <w:pPr>
              <w:pStyle w:val="BodyRuller"/>
              <w:rPr>
                <w:rtl/>
              </w:rPr>
            </w:pPr>
          </w:p>
        </w:tc>
        <w:tc>
          <w:tcPr>
            <w:tcW w:w="5239" w:type="dxa"/>
          </w:tcPr>
          <w:p w:rsidR="005660DA" w:rsidRDefault="005660DA">
            <w:pPr>
              <w:pStyle w:val="BodyRuller"/>
              <w:rPr>
                <w:rtl/>
              </w:rPr>
            </w:pPr>
            <w:r>
              <w:rPr>
                <w:rtl/>
              </w:rPr>
              <w:t>כבוד השופט י' כשר</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180010">
        <w:trPr>
          <w:trHeight w:val="287"/>
        </w:trPr>
        <w:tc>
          <w:tcPr>
            <w:tcW w:w="3261" w:type="dxa"/>
          </w:tcPr>
          <w:p w:rsidR="00D00CB7" w:rsidRPr="00E75223" w:rsidRDefault="005660DA" w:rsidP="00180010">
            <w:pPr>
              <w:pStyle w:val="BodyRuller"/>
              <w:rPr>
                <w:rFonts w:ascii="David" w:hAnsi="David"/>
              </w:rPr>
            </w:pPr>
            <w:r>
              <w:rPr>
                <w:rFonts w:ascii="David" w:hAnsi="David"/>
                <w:rtl/>
              </w:rPr>
              <w:t>המערער:</w:t>
            </w:r>
          </w:p>
        </w:tc>
        <w:tc>
          <w:tcPr>
            <w:tcW w:w="5239" w:type="dxa"/>
          </w:tcPr>
          <w:p w:rsidR="00D00CB7" w:rsidRDefault="005660DA" w:rsidP="00180010">
            <w:pPr>
              <w:pStyle w:val="BodyRuller"/>
            </w:pPr>
            <w:r>
              <w:rPr>
                <w:rtl/>
              </w:rPr>
              <w:t>וליד ותד</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180010">
        <w:trPr>
          <w:trHeight w:val="287"/>
        </w:trPr>
        <w:tc>
          <w:tcPr>
            <w:tcW w:w="3261" w:type="dxa"/>
          </w:tcPr>
          <w:p w:rsidR="0083345F" w:rsidRPr="00E75223" w:rsidRDefault="005660DA" w:rsidP="00180010">
            <w:pPr>
              <w:pStyle w:val="BodyRuller"/>
              <w:rPr>
                <w:rFonts w:ascii="David" w:hAnsi="David"/>
              </w:rPr>
            </w:pPr>
            <w:r>
              <w:rPr>
                <w:rFonts w:ascii="David" w:hAnsi="David"/>
                <w:rtl/>
              </w:rPr>
              <w:t>המשיב</w:t>
            </w:r>
            <w:r w:rsidR="002265EC">
              <w:rPr>
                <w:rFonts w:ascii="David" w:hAnsi="David" w:hint="cs"/>
                <w:rtl/>
              </w:rPr>
              <w:t>ה</w:t>
            </w:r>
            <w:r>
              <w:rPr>
                <w:rFonts w:ascii="David" w:hAnsi="David"/>
                <w:rtl/>
              </w:rPr>
              <w:t>:</w:t>
            </w:r>
          </w:p>
        </w:tc>
        <w:tc>
          <w:tcPr>
            <w:tcW w:w="5239" w:type="dxa"/>
          </w:tcPr>
          <w:p w:rsidR="0083345F" w:rsidRDefault="005660DA" w:rsidP="00180010">
            <w:pPr>
              <w:pStyle w:val="BodyRuller"/>
            </w:pPr>
            <w:r>
              <w:rPr>
                <w:rtl/>
              </w:rPr>
              <w:t>מדינת ישראל</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5660DA" w:rsidP="00DF50E1">
            <w:pPr>
              <w:pStyle w:val="BodyRuller"/>
              <w:jc w:val="both"/>
              <w:rPr>
                <w:sz w:val="24"/>
                <w:szCs w:val="24"/>
              </w:rPr>
            </w:pPr>
            <w:r>
              <w:rPr>
                <w:sz w:val="24"/>
                <w:szCs w:val="24"/>
                <w:rtl/>
              </w:rPr>
              <w:t xml:space="preserve">ערעור על </w:t>
            </w:r>
            <w:r w:rsidR="002265EC">
              <w:rPr>
                <w:rFonts w:hint="cs"/>
                <w:sz w:val="24"/>
                <w:szCs w:val="24"/>
                <w:rtl/>
              </w:rPr>
              <w:t xml:space="preserve">הכרעת דינו וגזר דינו </w:t>
            </w:r>
            <w:r>
              <w:rPr>
                <w:sz w:val="24"/>
                <w:szCs w:val="24"/>
                <w:rtl/>
              </w:rPr>
              <w:t xml:space="preserve">של בית המשפט המחוזי </w:t>
            </w:r>
            <w:r w:rsidR="002265EC">
              <w:rPr>
                <w:rFonts w:hint="cs"/>
                <w:sz w:val="24"/>
                <w:szCs w:val="24"/>
                <w:rtl/>
              </w:rPr>
              <w:t>ב</w:t>
            </w:r>
            <w:r>
              <w:rPr>
                <w:sz w:val="24"/>
                <w:szCs w:val="24"/>
                <w:rtl/>
              </w:rPr>
              <w:t>חיפה ב</w:t>
            </w:r>
            <w:r w:rsidR="002265EC">
              <w:rPr>
                <w:rFonts w:hint="cs"/>
                <w:sz w:val="24"/>
                <w:szCs w:val="24"/>
                <w:rtl/>
              </w:rPr>
              <w:t>-ת</w:t>
            </w:r>
            <w:r>
              <w:rPr>
                <w:sz w:val="24"/>
                <w:szCs w:val="24"/>
                <w:rtl/>
              </w:rPr>
              <w:t>פ</w:t>
            </w:r>
            <w:r w:rsidR="002265EC">
              <w:rPr>
                <w:rFonts w:hint="cs"/>
                <w:sz w:val="24"/>
                <w:szCs w:val="24"/>
                <w:rtl/>
              </w:rPr>
              <w:t>"</w:t>
            </w:r>
            <w:r>
              <w:rPr>
                <w:sz w:val="24"/>
                <w:szCs w:val="24"/>
                <w:rtl/>
              </w:rPr>
              <w:t>ח 41291-04-19</w:t>
            </w:r>
            <w:r w:rsidR="002265EC">
              <w:rPr>
                <w:rFonts w:hint="cs"/>
                <w:sz w:val="24"/>
                <w:szCs w:val="24"/>
                <w:rtl/>
              </w:rPr>
              <w:t xml:space="preserve"> </w:t>
            </w:r>
            <w:r w:rsidR="002265EC">
              <w:rPr>
                <w:sz w:val="24"/>
                <w:szCs w:val="24"/>
                <w:rtl/>
              </w:rPr>
              <w:t xml:space="preserve">מיום </w:t>
            </w:r>
            <w:r w:rsidR="00DF50E1">
              <w:rPr>
                <w:rFonts w:hint="cs"/>
                <w:sz w:val="24"/>
                <w:szCs w:val="24"/>
                <w:rtl/>
              </w:rPr>
              <w:t>13.10.2021</w:t>
            </w:r>
            <w:r w:rsidR="002265EC">
              <w:rPr>
                <w:rFonts w:hint="cs"/>
                <w:sz w:val="24"/>
                <w:szCs w:val="24"/>
                <w:rtl/>
              </w:rPr>
              <w:t xml:space="preserve"> ומיום 3.5.2022 שניתנו</w:t>
            </w:r>
            <w:r w:rsidR="00DF50E1">
              <w:rPr>
                <w:rFonts w:hint="cs"/>
                <w:sz w:val="24"/>
                <w:szCs w:val="24"/>
                <w:rtl/>
              </w:rPr>
              <w:t xml:space="preserve"> על ידי </w:t>
            </w:r>
            <w:proofErr w:type="spellStart"/>
            <w:r w:rsidR="00DF50E1">
              <w:rPr>
                <w:rFonts w:hint="cs"/>
                <w:sz w:val="24"/>
                <w:szCs w:val="24"/>
                <w:rtl/>
              </w:rPr>
              <w:t>סג"נ</w:t>
            </w:r>
            <w:proofErr w:type="spellEnd"/>
            <w:r w:rsidR="00DF50E1">
              <w:rPr>
                <w:rFonts w:hint="cs"/>
                <w:sz w:val="24"/>
                <w:szCs w:val="24"/>
                <w:rtl/>
              </w:rPr>
              <w:t xml:space="preserve"> א' אליקים והשופטות</w:t>
            </w:r>
            <w:r w:rsidR="002265EC">
              <w:rPr>
                <w:rFonts w:hint="cs"/>
                <w:sz w:val="24"/>
                <w:szCs w:val="24"/>
                <w:rtl/>
              </w:rPr>
              <w:t xml:space="preserve"> ת' נאות-פרי ו-</w:t>
            </w:r>
            <w:r w:rsidR="00DF50E1">
              <w:rPr>
                <w:rFonts w:hint="cs"/>
                <w:sz w:val="24"/>
                <w:szCs w:val="24"/>
                <w:rtl/>
              </w:rPr>
              <w:t xml:space="preserve">ר' </w:t>
            </w:r>
            <w:proofErr w:type="spellStart"/>
            <w:r w:rsidR="00DF50E1">
              <w:rPr>
                <w:rFonts w:hint="cs"/>
                <w:sz w:val="24"/>
                <w:szCs w:val="24"/>
                <w:rtl/>
              </w:rPr>
              <w:t>ב</w:t>
            </w:r>
            <w:r w:rsidR="002265EC">
              <w:rPr>
                <w:rFonts w:hint="cs"/>
                <w:sz w:val="24"/>
                <w:szCs w:val="24"/>
                <w:rtl/>
              </w:rPr>
              <w:t>ש</w:t>
            </w:r>
            <w:proofErr w:type="spellEnd"/>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5660DA">
            <w:pPr>
              <w:pStyle w:val="BodyRuller"/>
              <w:rPr>
                <w:rtl/>
              </w:rPr>
            </w:pPr>
            <w:r>
              <w:rPr>
                <w:sz w:val="24"/>
                <w:szCs w:val="24"/>
                <w:rtl/>
              </w:rPr>
              <w:t xml:space="preserve">א' בשבט </w:t>
            </w:r>
            <w:proofErr w:type="spellStart"/>
            <w:r>
              <w:rPr>
                <w:sz w:val="24"/>
                <w:szCs w:val="24"/>
                <w:rtl/>
              </w:rPr>
              <w:t>התשפ"ג</w:t>
            </w:r>
            <w:proofErr w:type="spellEnd"/>
            <w:r w:rsidR="008C2F11">
              <w:t xml:space="preserve">       </w:t>
            </w:r>
          </w:p>
        </w:tc>
        <w:tc>
          <w:tcPr>
            <w:tcW w:w="2694" w:type="dxa"/>
            <w:tcBorders>
              <w:top w:val="nil"/>
              <w:left w:val="nil"/>
              <w:bottom w:val="nil"/>
              <w:right w:val="nil"/>
            </w:tcBorders>
          </w:tcPr>
          <w:p w:rsidR="008C2F11" w:rsidRDefault="005660DA" w:rsidP="00AF5F12">
            <w:pPr>
              <w:pStyle w:val="BodyRuller"/>
              <w:rPr>
                <w:sz w:val="24"/>
                <w:szCs w:val="24"/>
                <w:rtl/>
              </w:rPr>
            </w:pPr>
            <w:r>
              <w:t>(23.</w:t>
            </w:r>
            <w:r w:rsidR="00AF5F12">
              <w:t>1</w:t>
            </w:r>
            <w:r>
              <w:t>.2023)</w:t>
            </w:r>
            <w:r w:rsidR="00200D6B">
              <w:t xml:space="preserve"> </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D00B1D">
        <w:tc>
          <w:tcPr>
            <w:tcW w:w="3257" w:type="dxa"/>
            <w:tcBorders>
              <w:top w:val="nil"/>
              <w:left w:val="nil"/>
              <w:bottom w:val="nil"/>
              <w:right w:val="nil"/>
            </w:tcBorders>
          </w:tcPr>
          <w:p w:rsidR="00036227" w:rsidRDefault="005660DA">
            <w:pPr>
              <w:pStyle w:val="BodyRuller"/>
            </w:pPr>
            <w:r>
              <w:rPr>
                <w:rtl/>
              </w:rPr>
              <w:t>בשם המערער:</w:t>
            </w:r>
          </w:p>
        </w:tc>
        <w:tc>
          <w:tcPr>
            <w:tcW w:w="5238" w:type="dxa"/>
            <w:tcBorders>
              <w:top w:val="nil"/>
              <w:left w:val="nil"/>
              <w:bottom w:val="nil"/>
              <w:right w:val="nil"/>
            </w:tcBorders>
          </w:tcPr>
          <w:p w:rsidR="00036227" w:rsidRDefault="005660DA" w:rsidP="00282FB7">
            <w:pPr>
              <w:pStyle w:val="BodyRuller"/>
            </w:pPr>
            <w:r>
              <w:rPr>
                <w:rtl/>
              </w:rPr>
              <w:t>עו"ד</w:t>
            </w:r>
            <w:r w:rsidR="00282FB7">
              <w:rPr>
                <w:rFonts w:hint="cs"/>
                <w:rtl/>
              </w:rPr>
              <w:t xml:space="preserve"> </w:t>
            </w:r>
            <w:proofErr w:type="spellStart"/>
            <w:r w:rsidR="00282FB7">
              <w:rPr>
                <w:rFonts w:hint="cs"/>
                <w:rtl/>
              </w:rPr>
              <w:t>נאג'י</w:t>
            </w:r>
            <w:proofErr w:type="spellEnd"/>
            <w:r>
              <w:rPr>
                <w:rtl/>
              </w:rPr>
              <w:t xml:space="preserve"> </w:t>
            </w:r>
            <w:proofErr w:type="spellStart"/>
            <w:r>
              <w:rPr>
                <w:rtl/>
              </w:rPr>
              <w:t>עאמר</w:t>
            </w:r>
            <w:proofErr w:type="spellEnd"/>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282FB7">
        <w:tc>
          <w:tcPr>
            <w:tcW w:w="3215" w:type="dxa"/>
            <w:tcBorders>
              <w:top w:val="nil"/>
              <w:left w:val="nil"/>
              <w:bottom w:val="nil"/>
              <w:right w:val="nil"/>
            </w:tcBorders>
          </w:tcPr>
          <w:p w:rsidR="00036227" w:rsidRDefault="005660DA">
            <w:pPr>
              <w:pStyle w:val="BodyRuller"/>
            </w:pPr>
            <w:r>
              <w:rPr>
                <w:rtl/>
              </w:rPr>
              <w:t>בשם המשיב</w:t>
            </w:r>
            <w:r w:rsidR="00282FB7">
              <w:rPr>
                <w:rFonts w:hint="cs"/>
                <w:rtl/>
              </w:rPr>
              <w:t>ה</w:t>
            </w:r>
            <w:r>
              <w:rPr>
                <w:rtl/>
              </w:rPr>
              <w:t>:</w:t>
            </w:r>
          </w:p>
        </w:tc>
        <w:tc>
          <w:tcPr>
            <w:tcW w:w="5148" w:type="dxa"/>
            <w:tcBorders>
              <w:top w:val="nil"/>
              <w:left w:val="nil"/>
              <w:bottom w:val="nil"/>
              <w:right w:val="nil"/>
            </w:tcBorders>
          </w:tcPr>
          <w:p w:rsidR="00036227" w:rsidRDefault="005660DA" w:rsidP="00282FB7">
            <w:pPr>
              <w:pStyle w:val="BodyRuller"/>
            </w:pPr>
            <w:r>
              <w:rPr>
                <w:rtl/>
              </w:rPr>
              <w:t xml:space="preserve">עו"ד </w:t>
            </w:r>
            <w:r w:rsidR="00282FB7">
              <w:rPr>
                <w:rFonts w:hint="cs"/>
                <w:rtl/>
              </w:rPr>
              <w:t xml:space="preserve">עילית מידן </w:t>
            </w:r>
          </w:p>
        </w:tc>
      </w:tr>
    </w:tbl>
    <w:p w:rsidR="00282FB7" w:rsidRDefault="00282FB7">
      <w:pPr>
        <w:rPr>
          <w:rtl/>
        </w:rPr>
      </w:pPr>
    </w:p>
    <w:p w:rsidR="00282FB7" w:rsidRDefault="00282FB7"/>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282FB7" w:rsidTr="00282FB7">
        <w:tc>
          <w:tcPr>
            <w:tcW w:w="3215" w:type="dxa"/>
            <w:tcBorders>
              <w:top w:val="nil"/>
              <w:left w:val="nil"/>
              <w:bottom w:val="nil"/>
              <w:right w:val="nil"/>
            </w:tcBorders>
          </w:tcPr>
          <w:p w:rsidR="00282FB7" w:rsidRDefault="00282FB7">
            <w:pPr>
              <w:pStyle w:val="BodyRuller"/>
              <w:rPr>
                <w:rtl/>
              </w:rPr>
            </w:pPr>
            <w:r>
              <w:rPr>
                <w:rFonts w:hint="cs"/>
                <w:rtl/>
              </w:rPr>
              <w:t>בשם נפגעי העבירה:</w:t>
            </w:r>
          </w:p>
        </w:tc>
        <w:tc>
          <w:tcPr>
            <w:tcW w:w="5148" w:type="dxa"/>
            <w:tcBorders>
              <w:top w:val="nil"/>
              <w:left w:val="nil"/>
              <w:bottom w:val="nil"/>
              <w:right w:val="nil"/>
            </w:tcBorders>
          </w:tcPr>
          <w:p w:rsidR="00282FB7" w:rsidRDefault="00282FB7" w:rsidP="00282FB7">
            <w:pPr>
              <w:pStyle w:val="BodyRuller"/>
              <w:rPr>
                <w:rtl/>
              </w:rPr>
            </w:pPr>
            <w:r>
              <w:rPr>
                <w:rFonts w:hint="cs"/>
                <w:rtl/>
              </w:rPr>
              <w:t xml:space="preserve">עו"ד אסי פסו </w:t>
            </w:r>
          </w:p>
        </w:tc>
      </w:tr>
    </w:tbl>
    <w:p w:rsidR="00916FF8" w:rsidRDefault="00916FF8">
      <w:pPr>
        <w:tabs>
          <w:tab w:val="left" w:pos="2552"/>
        </w:tabs>
        <w:rPr>
          <w:rtl/>
        </w:rPr>
      </w:pPr>
    </w:p>
    <w:p w:rsidR="00282FB7" w:rsidRDefault="00282FB7">
      <w:pPr>
        <w:tabs>
          <w:tab w:val="left" w:pos="2552"/>
        </w:tabs>
        <w:rPr>
          <w:rtl/>
        </w:rPr>
      </w:pPr>
    </w:p>
    <w:tbl>
      <w:tblPr>
        <w:bidiVisual/>
        <w:tblW w:w="8363" w:type="dxa"/>
        <w:tblLook w:val="0000" w:firstRow="0" w:lastRow="0" w:firstColumn="0" w:lastColumn="0" w:noHBand="0" w:noVBand="0"/>
      </w:tblPr>
      <w:tblGrid>
        <w:gridCol w:w="8363"/>
      </w:tblGrid>
      <w:tr w:rsidR="00036227" w:rsidTr="00282FB7">
        <w:tc>
          <w:tcPr>
            <w:tcW w:w="8363" w:type="dxa"/>
          </w:tcPr>
          <w:p w:rsidR="00916FF8" w:rsidRDefault="005660DA">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5660DA">
      <w:pPr>
        <w:pStyle w:val="BODYVERDICT"/>
        <w:rPr>
          <w:rFonts w:cs="Miriam"/>
          <w:sz w:val="24"/>
          <w:szCs w:val="24"/>
          <w:u w:val="single"/>
          <w:rtl/>
        </w:rPr>
      </w:pPr>
      <w:bookmarkStart w:id="4" w:name="Writer_Name"/>
      <w:bookmarkEnd w:id="4"/>
      <w:r>
        <w:rPr>
          <w:rFonts w:cs="Miriam"/>
          <w:sz w:val="24"/>
          <w:szCs w:val="24"/>
          <w:u w:val="single"/>
          <w:rtl/>
        </w:rPr>
        <w:t>השופט י' אלרון</w:t>
      </w:r>
      <w:r w:rsidRPr="00282FB7">
        <w:rPr>
          <w:rFonts w:cs="Miriam"/>
          <w:sz w:val="24"/>
          <w:szCs w:val="24"/>
          <w:rtl/>
        </w:rPr>
        <w:t>:</w:t>
      </w:r>
    </w:p>
    <w:p w:rsidR="000B1478" w:rsidRDefault="000B1478" w:rsidP="00A51FAE">
      <w:pPr>
        <w:pStyle w:val="Ruller40"/>
        <w:rPr>
          <w:rtl/>
        </w:rPr>
      </w:pPr>
      <w:bookmarkStart w:id="5" w:name="Start_Write"/>
      <w:bookmarkEnd w:id="5"/>
    </w:p>
    <w:p w:rsidR="00DF50E1" w:rsidRDefault="00DF50E1" w:rsidP="009669BB">
      <w:pPr>
        <w:pStyle w:val="Ruller4"/>
        <w:numPr>
          <w:ilvl w:val="0"/>
          <w:numId w:val="0"/>
        </w:numPr>
        <w:rPr>
          <w:rtl/>
        </w:rPr>
      </w:pPr>
      <w:r>
        <w:rPr>
          <w:rtl/>
        </w:rPr>
        <w:tab/>
      </w:r>
      <w:r>
        <w:rPr>
          <w:rFonts w:hint="cs"/>
          <w:rtl/>
        </w:rPr>
        <w:t xml:space="preserve">המערער, וליד ותד (להלן: </w:t>
      </w:r>
      <w:r w:rsidRPr="00DC31EC">
        <w:rPr>
          <w:rFonts w:ascii="Century" w:hAnsi="Century" w:cs="Miriam" w:hint="cs"/>
          <w:b/>
          <w:spacing w:val="0"/>
          <w:sz w:val="22"/>
          <w:szCs w:val="24"/>
          <w:rtl/>
        </w:rPr>
        <w:t>המערער</w:t>
      </w:r>
      <w:r>
        <w:rPr>
          <w:rFonts w:hint="cs"/>
          <w:rtl/>
        </w:rPr>
        <w:t xml:space="preserve">), הורשע ברצח רעייתו, סוזאן ותד ז"ל (להלן: </w:t>
      </w:r>
      <w:r w:rsidRPr="00DC31EC">
        <w:rPr>
          <w:rFonts w:ascii="Century" w:hAnsi="Century" w:cs="Miriam" w:hint="cs"/>
          <w:b/>
          <w:spacing w:val="0"/>
          <w:sz w:val="22"/>
          <w:szCs w:val="24"/>
          <w:rtl/>
        </w:rPr>
        <w:t>המנוחה</w:t>
      </w:r>
      <w:r w:rsidR="00F46A6B">
        <w:rPr>
          <w:rFonts w:hint="cs"/>
          <w:rtl/>
        </w:rPr>
        <w:t>) ו</w:t>
      </w:r>
      <w:r>
        <w:rPr>
          <w:rFonts w:hint="cs"/>
          <w:rtl/>
        </w:rPr>
        <w:t>בעבירה של שיבוש מהלכי משפט</w:t>
      </w:r>
      <w:r w:rsidR="00F46A6B">
        <w:rPr>
          <w:rFonts w:hint="cs"/>
          <w:rtl/>
        </w:rPr>
        <w:t xml:space="preserve">. </w:t>
      </w:r>
      <w:r>
        <w:rPr>
          <w:rFonts w:hint="cs"/>
          <w:rtl/>
        </w:rPr>
        <w:t>בגין הרשעתו, נגזר עליו עונש של מאסר עולם; שנת מאסר ש</w:t>
      </w:r>
      <w:r w:rsidR="009669BB">
        <w:rPr>
          <w:rFonts w:hint="cs"/>
          <w:rtl/>
        </w:rPr>
        <w:t>ת</w:t>
      </w:r>
      <w:r>
        <w:rPr>
          <w:rFonts w:hint="cs"/>
          <w:rtl/>
        </w:rPr>
        <w:t xml:space="preserve">רוצה בחופף לו; וכן תשלום פיצויים לילדי המנוחה, בסכום של 258,000 ש"ח. </w:t>
      </w:r>
    </w:p>
    <w:p w:rsidR="00DF50E1" w:rsidRPr="006E13D0" w:rsidRDefault="00DF50E1" w:rsidP="00DF50E1">
      <w:pPr>
        <w:pStyle w:val="Ruller40"/>
        <w:rPr>
          <w:rtl/>
        </w:rPr>
      </w:pPr>
    </w:p>
    <w:p w:rsidR="00DF50E1" w:rsidRDefault="00DF50E1" w:rsidP="000703C5">
      <w:pPr>
        <w:pStyle w:val="Ruller4"/>
        <w:numPr>
          <w:ilvl w:val="0"/>
          <w:numId w:val="0"/>
        </w:numPr>
        <w:rPr>
          <w:rtl/>
        </w:rPr>
      </w:pPr>
      <w:r>
        <w:rPr>
          <w:rtl/>
        </w:rPr>
        <w:lastRenderedPageBreak/>
        <w:tab/>
      </w:r>
      <w:r>
        <w:rPr>
          <w:rFonts w:hint="cs"/>
          <w:rtl/>
        </w:rPr>
        <w:t xml:space="preserve">הערעור שלפנינו מופנה כלפי הכרעת דינו של בית המשפט </w:t>
      </w:r>
      <w:r w:rsidRPr="008828BC">
        <w:rPr>
          <w:rFonts w:hint="cs"/>
          <w:rtl/>
        </w:rPr>
        <w:t xml:space="preserve">המחוזי </w:t>
      </w:r>
      <w:r>
        <w:rPr>
          <w:rFonts w:hint="cs"/>
          <w:rtl/>
        </w:rPr>
        <w:t>בחיפה</w:t>
      </w:r>
      <w:r w:rsidRPr="008828BC">
        <w:rPr>
          <w:rFonts w:hint="cs"/>
          <w:rtl/>
        </w:rPr>
        <w:t xml:space="preserve"> (</w:t>
      </w:r>
      <w:proofErr w:type="spellStart"/>
      <w:r>
        <w:rPr>
          <w:rFonts w:hint="cs"/>
          <w:rtl/>
        </w:rPr>
        <w:t>סג"נ</w:t>
      </w:r>
      <w:proofErr w:type="spellEnd"/>
      <w:r>
        <w:rPr>
          <w:rFonts w:hint="cs"/>
          <w:rtl/>
        </w:rPr>
        <w:t xml:space="preserve"> </w:t>
      </w:r>
      <w:r>
        <w:rPr>
          <w:rFonts w:ascii="Century" w:hAnsi="Century" w:cs="Miriam" w:hint="cs"/>
          <w:b/>
          <w:spacing w:val="0"/>
          <w:szCs w:val="24"/>
          <w:rtl/>
        </w:rPr>
        <w:t>א' אליקים</w:t>
      </w:r>
      <w:r>
        <w:rPr>
          <w:rFonts w:hint="cs"/>
          <w:rtl/>
        </w:rPr>
        <w:t xml:space="preserve">, השופטת </w:t>
      </w:r>
      <w:r>
        <w:rPr>
          <w:rFonts w:ascii="Century" w:hAnsi="Century" w:cs="Miriam" w:hint="cs"/>
          <w:b/>
          <w:spacing w:val="0"/>
          <w:szCs w:val="24"/>
          <w:rtl/>
        </w:rPr>
        <w:t>ת' נאות פרי</w:t>
      </w:r>
      <w:r>
        <w:rPr>
          <w:rFonts w:hint="cs"/>
          <w:rtl/>
        </w:rPr>
        <w:t xml:space="preserve"> והשופטת </w:t>
      </w:r>
      <w:r>
        <w:rPr>
          <w:rFonts w:ascii="Century" w:hAnsi="Century" w:cs="Miriam" w:hint="cs"/>
          <w:b/>
          <w:spacing w:val="0"/>
          <w:szCs w:val="24"/>
          <w:rtl/>
        </w:rPr>
        <w:t xml:space="preserve">ר' </w:t>
      </w:r>
      <w:proofErr w:type="spellStart"/>
      <w:r>
        <w:rPr>
          <w:rFonts w:ascii="Century" w:hAnsi="Century" w:cs="Miriam" w:hint="cs"/>
          <w:b/>
          <w:spacing w:val="0"/>
          <w:szCs w:val="24"/>
          <w:rtl/>
        </w:rPr>
        <w:t>בש</w:t>
      </w:r>
      <w:proofErr w:type="spellEnd"/>
      <w:r w:rsidRPr="008828BC">
        <w:rPr>
          <w:rFonts w:hint="cs"/>
          <w:rtl/>
        </w:rPr>
        <w:t>) ב-</w:t>
      </w:r>
      <w:r>
        <w:rPr>
          <w:rFonts w:hint="cs"/>
          <w:rtl/>
        </w:rPr>
        <w:t>תפ"ח 41291-</w:t>
      </w:r>
      <w:r w:rsidR="00B446A0">
        <w:rPr>
          <w:rFonts w:hint="cs"/>
          <w:rtl/>
        </w:rPr>
        <w:t>04</w:t>
      </w:r>
      <w:r>
        <w:rPr>
          <w:rFonts w:hint="cs"/>
          <w:rtl/>
        </w:rPr>
        <w:t>-19</w:t>
      </w:r>
      <w:r w:rsidRPr="008828BC">
        <w:rPr>
          <w:rFonts w:hint="cs"/>
          <w:rtl/>
        </w:rPr>
        <w:t xml:space="preserve">, </w:t>
      </w:r>
      <w:r>
        <w:rPr>
          <w:rFonts w:hint="cs"/>
          <w:rtl/>
        </w:rPr>
        <w:t xml:space="preserve">מיום </w:t>
      </w:r>
      <w:r w:rsidR="00852A0D">
        <w:rPr>
          <w:rFonts w:hint="cs"/>
          <w:rtl/>
        </w:rPr>
        <w:t>13.10.2021, וכנגזר מכך,</w:t>
      </w:r>
      <w:r>
        <w:rPr>
          <w:rFonts w:hint="cs"/>
          <w:rtl/>
        </w:rPr>
        <w:t xml:space="preserve"> </w:t>
      </w:r>
      <w:r w:rsidR="00BC31ED">
        <w:rPr>
          <w:rFonts w:hint="cs"/>
          <w:rtl/>
        </w:rPr>
        <w:t>נגד</w:t>
      </w:r>
      <w:r>
        <w:rPr>
          <w:rFonts w:hint="cs"/>
          <w:rtl/>
        </w:rPr>
        <w:t xml:space="preserve"> חומרת העונש </w:t>
      </w:r>
      <w:r w:rsidR="000703C5">
        <w:rPr>
          <w:rFonts w:hint="cs"/>
          <w:rtl/>
        </w:rPr>
        <w:t>שהושת</w:t>
      </w:r>
      <w:r>
        <w:rPr>
          <w:rFonts w:hint="cs"/>
          <w:rtl/>
        </w:rPr>
        <w:t xml:space="preserve"> על המערער בגזר הדין </w:t>
      </w:r>
      <w:r w:rsidRPr="00034A91">
        <w:rPr>
          <w:rFonts w:hint="cs"/>
          <w:rtl/>
        </w:rPr>
        <w:t xml:space="preserve">מיום </w:t>
      </w:r>
      <w:r>
        <w:rPr>
          <w:rFonts w:hint="cs"/>
          <w:rtl/>
        </w:rPr>
        <w:t>3.5.2022.</w:t>
      </w:r>
    </w:p>
    <w:p w:rsidR="00DF50E1" w:rsidRDefault="00DF50E1" w:rsidP="00DF50E1">
      <w:pPr>
        <w:pStyle w:val="Ruller4"/>
        <w:numPr>
          <w:ilvl w:val="0"/>
          <w:numId w:val="0"/>
        </w:numPr>
        <w:rPr>
          <w:rtl/>
        </w:rPr>
      </w:pPr>
      <w:r>
        <w:rPr>
          <w:rFonts w:hint="cs"/>
          <w:rtl/>
        </w:rPr>
        <w:t xml:space="preserve"> </w:t>
      </w:r>
    </w:p>
    <w:p w:rsidR="00DF50E1" w:rsidRDefault="00DF50E1" w:rsidP="00DF50E1">
      <w:pPr>
        <w:jc w:val="both"/>
        <w:rPr>
          <w:rFonts w:cs="Miriam"/>
          <w:b/>
          <w:sz w:val="22"/>
          <w:rtl/>
        </w:rPr>
      </w:pPr>
      <w:r>
        <w:rPr>
          <w:rFonts w:cs="Miriam" w:hint="cs"/>
          <w:b/>
          <w:sz w:val="22"/>
          <w:rtl/>
        </w:rPr>
        <w:t>עיקרי כתב האישום</w:t>
      </w:r>
    </w:p>
    <w:p w:rsidR="00DF50E1" w:rsidRDefault="00DF50E1" w:rsidP="00DF50E1">
      <w:pPr>
        <w:jc w:val="both"/>
        <w:rPr>
          <w:rFonts w:cs="Miriam"/>
          <w:b/>
          <w:sz w:val="22"/>
          <w:rtl/>
        </w:rPr>
      </w:pPr>
    </w:p>
    <w:p w:rsidR="00DF50E1" w:rsidRDefault="00DF50E1" w:rsidP="00DF50E1">
      <w:pPr>
        <w:jc w:val="both"/>
        <w:rPr>
          <w:rFonts w:cs="Miriam"/>
          <w:b/>
          <w:sz w:val="22"/>
          <w:rtl/>
        </w:rPr>
      </w:pPr>
    </w:p>
    <w:p w:rsidR="00DF50E1" w:rsidRDefault="00DF50E1" w:rsidP="00BC6DD9">
      <w:pPr>
        <w:pStyle w:val="Ruller4"/>
        <w:rPr>
          <w:rtl/>
        </w:rPr>
      </w:pPr>
      <w:r>
        <w:rPr>
          <w:rFonts w:hint="cs"/>
          <w:rtl/>
        </w:rPr>
        <w:t xml:space="preserve">המערער והמנוחה נישאו בשנת 1998. במועדים הרלוונטיים לכתב האישום, השניים התגוררו עם ילדיהם </w:t>
      </w:r>
      <w:r>
        <w:rPr>
          <w:rtl/>
        </w:rPr>
        <w:t>–</w:t>
      </w:r>
      <w:r>
        <w:rPr>
          <w:rFonts w:hint="cs"/>
          <w:rtl/>
        </w:rPr>
        <w:t xml:space="preserve"> קטינה ילידת שנת 2003 (להלן: </w:t>
      </w:r>
      <w:r w:rsidRPr="0024323B">
        <w:rPr>
          <w:rFonts w:ascii="Century" w:hAnsi="Century" w:cs="Miriam" w:hint="cs"/>
          <w:b/>
          <w:spacing w:val="0"/>
          <w:sz w:val="22"/>
          <w:szCs w:val="24"/>
          <w:rtl/>
        </w:rPr>
        <w:t>הקטינה</w:t>
      </w:r>
      <w:r>
        <w:rPr>
          <w:rFonts w:hint="cs"/>
          <w:rtl/>
        </w:rPr>
        <w:t xml:space="preserve">), ותינוק יליד שנת </w:t>
      </w:r>
      <w:r w:rsidR="00BC6DD9">
        <w:rPr>
          <w:rFonts w:hint="cs"/>
          <w:rtl/>
        </w:rPr>
        <w:t>2017</w:t>
      </w:r>
      <w:r>
        <w:rPr>
          <w:rFonts w:hint="cs"/>
          <w:rtl/>
        </w:rPr>
        <w:t xml:space="preserve"> (להלן: </w:t>
      </w:r>
      <w:r w:rsidRPr="0024323B">
        <w:rPr>
          <w:rFonts w:ascii="Century" w:hAnsi="Century" w:cs="Miriam" w:hint="cs"/>
          <w:b/>
          <w:spacing w:val="0"/>
          <w:sz w:val="22"/>
          <w:szCs w:val="24"/>
          <w:rtl/>
        </w:rPr>
        <w:t>התינוק</w:t>
      </w:r>
      <w:r>
        <w:rPr>
          <w:rFonts w:hint="cs"/>
          <w:rtl/>
        </w:rPr>
        <w:t xml:space="preserve">), בבאקה גרביה (להלן: </w:t>
      </w:r>
      <w:r w:rsidRPr="0024323B">
        <w:rPr>
          <w:rFonts w:ascii="Century" w:hAnsi="Century" w:cs="Miriam" w:hint="cs"/>
          <w:b/>
          <w:spacing w:val="0"/>
          <w:sz w:val="22"/>
          <w:szCs w:val="24"/>
          <w:rtl/>
        </w:rPr>
        <w:t>העיר</w:t>
      </w:r>
      <w:r>
        <w:rPr>
          <w:rFonts w:hint="cs"/>
          <w:rtl/>
        </w:rPr>
        <w:t xml:space="preserve">). </w:t>
      </w:r>
    </w:p>
    <w:p w:rsidR="00DF50E1" w:rsidRDefault="00DF50E1" w:rsidP="00DF50E1">
      <w:pPr>
        <w:pStyle w:val="Ruller40"/>
        <w:rPr>
          <w:rtl/>
        </w:rPr>
      </w:pPr>
    </w:p>
    <w:p w:rsidR="00DF50E1" w:rsidRDefault="00DF50E1" w:rsidP="000703C5">
      <w:pPr>
        <w:pStyle w:val="Ruller4"/>
      </w:pPr>
      <w:r>
        <w:rPr>
          <w:rFonts w:hint="cs"/>
          <w:rtl/>
        </w:rPr>
        <w:t>על פי המתואר בכתב האישום, בשנים שקדמו לאירוע התערערו היחסים בין בני הזוג. המערער חשד כי המנוחה בוגדת בו, קינא לה, וחש כי היא "אינה מכבדת אותו ואינה סרה למרותו"</w:t>
      </w:r>
      <w:r w:rsidR="00502B70">
        <w:rPr>
          <w:rFonts w:hint="cs"/>
          <w:rtl/>
        </w:rPr>
        <w:t>,</w:t>
      </w:r>
      <w:r>
        <w:rPr>
          <w:rFonts w:hint="cs"/>
          <w:rtl/>
        </w:rPr>
        <w:t xml:space="preserve"> כלשון כתב האישום. </w:t>
      </w:r>
      <w:r w:rsidR="000703C5">
        <w:rPr>
          <w:rFonts w:hint="cs"/>
          <w:rtl/>
        </w:rPr>
        <w:t xml:space="preserve">משכך, </w:t>
      </w:r>
      <w:r>
        <w:rPr>
          <w:rFonts w:hint="cs"/>
          <w:rtl/>
        </w:rPr>
        <w:t xml:space="preserve">המערער כעס על המנוחה, תקף אותה והכה אותה מספר פעמים. בשיחת טלפון שערך ביום 21.3.2019 עם אחותו, </w:t>
      </w:r>
      <w:proofErr w:type="spellStart"/>
      <w:r>
        <w:rPr>
          <w:rFonts w:hint="cs"/>
          <w:rtl/>
        </w:rPr>
        <w:t>סמהאר</w:t>
      </w:r>
      <w:proofErr w:type="spellEnd"/>
      <w:r>
        <w:rPr>
          <w:rFonts w:hint="cs"/>
          <w:rtl/>
        </w:rPr>
        <w:t xml:space="preserve"> אבו מוך (להלן: </w:t>
      </w:r>
      <w:r w:rsidR="00BC6DD9" w:rsidRPr="000703C5">
        <w:rPr>
          <w:rFonts w:ascii="Century" w:hAnsi="Century" w:cs="Miriam" w:hint="cs"/>
          <w:b/>
          <w:spacing w:val="0"/>
          <w:sz w:val="22"/>
          <w:szCs w:val="24"/>
          <w:rtl/>
        </w:rPr>
        <w:t>האחות</w:t>
      </w:r>
      <w:r>
        <w:rPr>
          <w:rFonts w:hint="cs"/>
          <w:rtl/>
        </w:rPr>
        <w:t xml:space="preserve">), התבטא כי בכוונתו לפגוע במנוחה. בסמוך לאותה שיחה, </w:t>
      </w:r>
      <w:r w:rsidR="00897D14">
        <w:rPr>
          <w:rFonts w:hint="cs"/>
          <w:rtl/>
        </w:rPr>
        <w:t>גמלה</w:t>
      </w:r>
      <w:r>
        <w:rPr>
          <w:rFonts w:hint="cs"/>
          <w:rtl/>
        </w:rPr>
        <w:t xml:space="preserve"> בליבו ההחלטה להמית את המנוחה. </w:t>
      </w:r>
    </w:p>
    <w:p w:rsidR="00DF50E1" w:rsidRDefault="00DF50E1" w:rsidP="00DF50E1">
      <w:pPr>
        <w:pStyle w:val="Ruller4"/>
        <w:numPr>
          <w:ilvl w:val="0"/>
          <w:numId w:val="0"/>
        </w:numPr>
        <w:rPr>
          <w:rtl/>
        </w:rPr>
      </w:pPr>
    </w:p>
    <w:p w:rsidR="00DF50E1" w:rsidRDefault="00DF50E1" w:rsidP="000703C5">
      <w:pPr>
        <w:pStyle w:val="Ruller4"/>
        <w:rPr>
          <w:rtl/>
        </w:rPr>
      </w:pPr>
      <w:r>
        <w:rPr>
          <w:rFonts w:hint="cs"/>
          <w:rtl/>
        </w:rPr>
        <w:t>ביום 26.3.2019 בשעה 16:30, המערער הגיע יחד עם התינ</w:t>
      </w:r>
      <w:r w:rsidR="00897D14">
        <w:rPr>
          <w:rFonts w:hint="cs"/>
          <w:rtl/>
        </w:rPr>
        <w:t>וק למסעדה שבה עבדה המנוחה</w:t>
      </w:r>
      <w:r>
        <w:rPr>
          <w:rFonts w:hint="cs"/>
          <w:rtl/>
        </w:rPr>
        <w:t xml:space="preserve"> והסיע אותה לביתם. בהגיעם לבית בשעה 16:44 </w:t>
      </w:r>
      <w:r w:rsidR="000703C5">
        <w:rPr>
          <w:rFonts w:hint="cs"/>
          <w:rtl/>
        </w:rPr>
        <w:t xml:space="preserve">המנוחה </w:t>
      </w:r>
      <w:r>
        <w:rPr>
          <w:rFonts w:hint="cs"/>
          <w:rtl/>
        </w:rPr>
        <w:t xml:space="preserve">החלה להתארגן לקראת מסיבה שנערכה בעיר. המערער ניגש למנוחה, </w:t>
      </w:r>
      <w:r w:rsidR="00BC31ED">
        <w:rPr>
          <w:rFonts w:hint="cs"/>
          <w:rtl/>
        </w:rPr>
        <w:t>עמד</w:t>
      </w:r>
      <w:r>
        <w:rPr>
          <w:rFonts w:hint="cs"/>
          <w:rtl/>
        </w:rPr>
        <w:t xml:space="preserve"> מאחורי גבה, הניח את כף ידו על פיה, חנק אותה, ליפף חבל סביב צוו</w:t>
      </w:r>
      <w:r w:rsidR="00897D14">
        <w:rPr>
          <w:rFonts w:hint="cs"/>
          <w:rtl/>
        </w:rPr>
        <w:t>ארה והידק אותו בחוזקה</w:t>
      </w:r>
      <w:r>
        <w:rPr>
          <w:rFonts w:hint="cs"/>
          <w:rtl/>
        </w:rPr>
        <w:t xml:space="preserve"> עד צאת נשמתה. זאת, בע</w:t>
      </w:r>
      <w:r w:rsidR="00897D14">
        <w:rPr>
          <w:rFonts w:hint="cs"/>
          <w:rtl/>
        </w:rPr>
        <w:t>וד שהתינוק שוהה באותו חדר בבית ב</w:t>
      </w:r>
      <w:r>
        <w:rPr>
          <w:rFonts w:hint="cs"/>
          <w:rtl/>
        </w:rPr>
        <w:t xml:space="preserve">מרחק </w:t>
      </w:r>
      <w:r w:rsidR="00897D14">
        <w:rPr>
          <w:rFonts w:hint="cs"/>
          <w:rtl/>
        </w:rPr>
        <w:t xml:space="preserve">מטרים </w:t>
      </w:r>
      <w:r>
        <w:rPr>
          <w:rFonts w:hint="cs"/>
          <w:rtl/>
        </w:rPr>
        <w:t xml:space="preserve">ספורים מהמערער ומהמנוחה. </w:t>
      </w:r>
    </w:p>
    <w:p w:rsidR="00DF50E1" w:rsidRDefault="00DF50E1" w:rsidP="00DF50E1">
      <w:pPr>
        <w:pStyle w:val="Ruller40"/>
        <w:rPr>
          <w:rtl/>
        </w:rPr>
      </w:pPr>
    </w:p>
    <w:p w:rsidR="00DF50E1" w:rsidRDefault="00DF50E1" w:rsidP="000703C5">
      <w:pPr>
        <w:pStyle w:val="Ruller4"/>
        <w:numPr>
          <w:ilvl w:val="0"/>
          <w:numId w:val="0"/>
        </w:numPr>
        <w:rPr>
          <w:rtl/>
        </w:rPr>
      </w:pPr>
      <w:r>
        <w:rPr>
          <w:rtl/>
        </w:rPr>
        <w:tab/>
      </w:r>
      <w:r>
        <w:rPr>
          <w:rFonts w:hint="cs"/>
          <w:rtl/>
        </w:rPr>
        <w:t xml:space="preserve">המערער עטף את גופת המנוחה בשמיכה, העבירה לתא המטען של הרכב, הניח ברכב טורייה והסיע את גופת המנוחה, </w:t>
      </w:r>
      <w:r w:rsidR="00897D14">
        <w:rPr>
          <w:rFonts w:hint="cs"/>
          <w:rtl/>
        </w:rPr>
        <w:t>כאשר</w:t>
      </w:r>
      <w:r>
        <w:rPr>
          <w:rFonts w:hint="cs"/>
          <w:rtl/>
        </w:rPr>
        <w:t xml:space="preserve"> התינוק עמו ברכב, לחורשה הסמוכה לכפר מייסר (להלן: </w:t>
      </w:r>
      <w:r w:rsidRPr="006E1914">
        <w:rPr>
          <w:rFonts w:ascii="Century" w:hAnsi="Century" w:cs="Miriam" w:hint="cs"/>
          <w:b/>
          <w:spacing w:val="0"/>
          <w:sz w:val="22"/>
          <w:szCs w:val="24"/>
          <w:rtl/>
        </w:rPr>
        <w:t>החורשה</w:t>
      </w:r>
      <w:r w:rsidR="000703C5">
        <w:rPr>
          <w:rFonts w:hint="cs"/>
          <w:rtl/>
        </w:rPr>
        <w:t xml:space="preserve">). בחורשה, </w:t>
      </w:r>
      <w:r>
        <w:rPr>
          <w:rFonts w:hint="cs"/>
          <w:rtl/>
        </w:rPr>
        <w:t xml:space="preserve">הטמין </w:t>
      </w:r>
      <w:r w:rsidR="000703C5">
        <w:rPr>
          <w:rFonts w:hint="cs"/>
          <w:rtl/>
        </w:rPr>
        <w:t>את גופת המנוחה</w:t>
      </w:r>
      <w:r>
        <w:rPr>
          <w:rFonts w:hint="cs"/>
          <w:rtl/>
        </w:rPr>
        <w:t xml:space="preserve"> בעשבייה סבוכה מתחת לאחד העצים, כיסה אותה בשמיכה והניח על הגופה צמחייה וחפצים שונים. ל</w:t>
      </w:r>
      <w:r w:rsidR="00897D14">
        <w:rPr>
          <w:rFonts w:hint="cs"/>
          <w:rtl/>
        </w:rPr>
        <w:t xml:space="preserve">אחר שווידא שלא ניתן להבחין בגופה </w:t>
      </w:r>
      <w:r>
        <w:rPr>
          <w:rFonts w:hint="cs"/>
          <w:rtl/>
        </w:rPr>
        <w:t xml:space="preserve">עזב את המקום. </w:t>
      </w:r>
    </w:p>
    <w:p w:rsidR="00DF50E1" w:rsidRDefault="00DF50E1" w:rsidP="00DF50E1">
      <w:pPr>
        <w:pStyle w:val="Ruller40"/>
        <w:rPr>
          <w:rtl/>
        </w:rPr>
      </w:pPr>
    </w:p>
    <w:p w:rsidR="00FE7BA1" w:rsidRDefault="00DF50E1" w:rsidP="005C6189">
      <w:pPr>
        <w:pStyle w:val="Ruller40"/>
        <w:rPr>
          <w:rtl/>
        </w:rPr>
      </w:pPr>
      <w:r>
        <w:rPr>
          <w:rtl/>
        </w:rPr>
        <w:tab/>
      </w:r>
      <w:r w:rsidR="00261DCE">
        <w:rPr>
          <w:rFonts w:hint="cs"/>
          <w:rtl/>
        </w:rPr>
        <w:t>כששב לבית</w:t>
      </w:r>
      <w:r>
        <w:rPr>
          <w:rFonts w:hint="cs"/>
          <w:rtl/>
        </w:rPr>
        <w:t xml:space="preserve">, </w:t>
      </w:r>
      <w:r w:rsidR="00261DCE">
        <w:rPr>
          <w:rFonts w:hint="cs"/>
          <w:rtl/>
        </w:rPr>
        <w:t xml:space="preserve">המערער </w:t>
      </w:r>
      <w:r w:rsidR="009F6228">
        <w:rPr>
          <w:rFonts w:hint="cs"/>
          <w:rtl/>
        </w:rPr>
        <w:t>העלים את משקפי הרא</w:t>
      </w:r>
      <w:r>
        <w:rPr>
          <w:rFonts w:hint="cs"/>
          <w:rtl/>
        </w:rPr>
        <w:t xml:space="preserve">יה של המנוחה ואת מכשיר הפלאפון שלה, </w:t>
      </w:r>
      <w:r w:rsidR="00870E8A">
        <w:rPr>
          <w:rFonts w:hint="cs"/>
          <w:rtl/>
        </w:rPr>
        <w:t>והשליכם</w:t>
      </w:r>
      <w:r>
        <w:rPr>
          <w:rFonts w:hint="cs"/>
          <w:rtl/>
        </w:rPr>
        <w:t xml:space="preserve"> לפח האשפה. למחרת בשעות הבוקר נסע פעם נוספת לחורשה </w:t>
      </w:r>
      <w:r w:rsidR="00261DCE">
        <w:rPr>
          <w:rFonts w:hint="cs"/>
          <w:rtl/>
        </w:rPr>
        <w:t>ו</w:t>
      </w:r>
      <w:r>
        <w:rPr>
          <w:rFonts w:hint="cs"/>
          <w:rtl/>
        </w:rPr>
        <w:t xml:space="preserve">דיווח בכזב למשטרה על היעדרות המנוחה. כל זאת במטרה למנוע או להכשיל הליך </w:t>
      </w:r>
      <w:r w:rsidR="00AF127B">
        <w:rPr>
          <w:rFonts w:hint="cs"/>
          <w:rtl/>
        </w:rPr>
        <w:t xml:space="preserve">שיפוטי בהעלמת ראיות </w:t>
      </w:r>
      <w:r w:rsidR="00FE7BA1">
        <w:rPr>
          <w:rFonts w:hint="cs"/>
          <w:rtl/>
        </w:rPr>
        <w:t xml:space="preserve">ובדרך אחרת. ביום 28.3.2019 המערער נעצר על ידי משטרת </w:t>
      </w:r>
      <w:r w:rsidR="00FE7BA1">
        <w:rPr>
          <w:rFonts w:hint="cs"/>
          <w:rtl/>
        </w:rPr>
        <w:lastRenderedPageBreak/>
        <w:t xml:space="preserve">ישראל. </w:t>
      </w:r>
      <w:r w:rsidR="005C6189">
        <w:rPr>
          <w:rFonts w:hint="cs"/>
          <w:rtl/>
        </w:rPr>
        <w:t>גופת המנוחה אותרה ביום 30.3.2019, לאחר שהמערער הוביל את השוטרים לחורשה.</w:t>
      </w:r>
    </w:p>
    <w:p w:rsidR="00F46A6B" w:rsidRDefault="00F46A6B" w:rsidP="00F46A6B">
      <w:pPr>
        <w:pStyle w:val="Ruller40"/>
        <w:rPr>
          <w:rtl/>
        </w:rPr>
      </w:pPr>
    </w:p>
    <w:p w:rsidR="00DF50E1" w:rsidRPr="006E1914" w:rsidRDefault="00F46A6B" w:rsidP="00870E8A">
      <w:pPr>
        <w:pStyle w:val="Ruller4"/>
        <w:rPr>
          <w:rtl/>
        </w:rPr>
      </w:pPr>
      <w:r>
        <w:rPr>
          <w:rFonts w:hint="cs"/>
          <w:rtl/>
        </w:rPr>
        <w:t>בגין מעשיו</w:t>
      </w:r>
      <w:r w:rsidR="009841B3">
        <w:rPr>
          <w:rFonts w:hint="cs"/>
          <w:rtl/>
        </w:rPr>
        <w:t>,</w:t>
      </w:r>
      <w:r>
        <w:rPr>
          <w:rFonts w:hint="cs"/>
          <w:rtl/>
        </w:rPr>
        <w:t xml:space="preserve"> יוחסו למערער עבירות של רצח בכוונה תחילה, לפי סעיף 300(א)(2) ל</w:t>
      </w:r>
      <w:r w:rsidRPr="00AA1B5E">
        <w:rPr>
          <w:rFonts w:hint="cs"/>
          <w:rtl/>
        </w:rPr>
        <w:t xml:space="preserve">חוק העונשין, </w:t>
      </w:r>
      <w:r>
        <w:rPr>
          <w:rFonts w:hint="cs"/>
          <w:rtl/>
        </w:rPr>
        <w:t>ה</w:t>
      </w:r>
      <w:r w:rsidRPr="00AA1B5E">
        <w:rPr>
          <w:rFonts w:hint="cs"/>
          <w:rtl/>
        </w:rPr>
        <w:t>תשל"ז-1977</w:t>
      </w:r>
      <w:r>
        <w:rPr>
          <w:rFonts w:hint="cs"/>
          <w:rtl/>
        </w:rPr>
        <w:t xml:space="preserve"> (להלן: </w:t>
      </w:r>
      <w:r w:rsidRPr="00AA1B5E">
        <w:rPr>
          <w:rFonts w:ascii="Century" w:hAnsi="Century" w:cs="Miriam" w:hint="cs"/>
          <w:b/>
          <w:spacing w:val="0"/>
          <w:szCs w:val="24"/>
          <w:rtl/>
        </w:rPr>
        <w:t>החוק</w:t>
      </w:r>
      <w:r w:rsidR="00FF6FEA">
        <w:rPr>
          <w:rFonts w:hint="cs"/>
          <w:rtl/>
        </w:rPr>
        <w:t>)</w:t>
      </w:r>
      <w:r>
        <w:rPr>
          <w:rFonts w:hint="cs"/>
          <w:rtl/>
        </w:rPr>
        <w:t xml:space="preserve"> בנוסחו הק</w:t>
      </w:r>
      <w:r w:rsidR="00FF6FEA">
        <w:rPr>
          <w:rFonts w:hint="cs"/>
          <w:rtl/>
        </w:rPr>
        <w:t xml:space="preserve">ודם לרפורמה בעבירות ההמתה, וכן </w:t>
      </w:r>
      <w:r>
        <w:rPr>
          <w:rFonts w:hint="cs"/>
          <w:rtl/>
        </w:rPr>
        <w:t>עבירה לפי סעיף 244 לחוק</w:t>
      </w:r>
      <w:r w:rsidR="00870E8A">
        <w:rPr>
          <w:rFonts w:hint="cs"/>
          <w:rtl/>
        </w:rPr>
        <w:t xml:space="preserve"> </w:t>
      </w:r>
      <w:r w:rsidR="00870E8A">
        <w:rPr>
          <w:rtl/>
        </w:rPr>
        <w:t>–</w:t>
      </w:r>
      <w:r w:rsidR="005C6189">
        <w:rPr>
          <w:rFonts w:hint="cs"/>
          <w:rtl/>
        </w:rPr>
        <w:t xml:space="preserve"> שיבוש מהלכי משפט</w:t>
      </w:r>
      <w:r>
        <w:rPr>
          <w:rFonts w:hint="cs"/>
          <w:rtl/>
        </w:rPr>
        <w:t>.</w:t>
      </w:r>
    </w:p>
    <w:p w:rsidR="00DF50E1" w:rsidRDefault="00DF50E1" w:rsidP="00DF50E1">
      <w:pPr>
        <w:jc w:val="both"/>
        <w:rPr>
          <w:rFonts w:cs="Miriam"/>
          <w:b/>
          <w:sz w:val="22"/>
          <w:rtl/>
        </w:rPr>
      </w:pPr>
    </w:p>
    <w:p w:rsidR="00852A0D" w:rsidRPr="00AF27F0" w:rsidRDefault="00852A0D" w:rsidP="00DF50E1">
      <w:pPr>
        <w:jc w:val="both"/>
        <w:rPr>
          <w:rFonts w:cs="Miriam"/>
          <w:b/>
          <w:sz w:val="22"/>
          <w:rtl/>
        </w:rPr>
      </w:pPr>
    </w:p>
    <w:p w:rsidR="00DF50E1" w:rsidRDefault="00DF50E1" w:rsidP="00DF50E1">
      <w:pPr>
        <w:pStyle w:val="Ruller40"/>
        <w:rPr>
          <w:rFonts w:ascii="Century" w:hAnsi="Century" w:cs="Miriam"/>
          <w:b/>
          <w:spacing w:val="0"/>
          <w:szCs w:val="24"/>
          <w:rtl/>
        </w:rPr>
      </w:pPr>
      <w:r>
        <w:rPr>
          <w:rFonts w:ascii="Century" w:hAnsi="Century" w:cs="Miriam" w:hint="cs"/>
          <w:b/>
          <w:spacing w:val="0"/>
          <w:szCs w:val="24"/>
          <w:rtl/>
        </w:rPr>
        <w:t>תמצית הכרעת הדין וגזר הדין</w:t>
      </w:r>
    </w:p>
    <w:p w:rsidR="00852A0D" w:rsidRPr="004C5814" w:rsidRDefault="00852A0D" w:rsidP="00DF50E1">
      <w:pPr>
        <w:pStyle w:val="Ruller40"/>
        <w:rPr>
          <w:rFonts w:ascii="Century" w:hAnsi="Century" w:cs="Miriam"/>
          <w:b/>
          <w:spacing w:val="0"/>
          <w:szCs w:val="24"/>
          <w:rtl/>
        </w:rPr>
      </w:pPr>
    </w:p>
    <w:p w:rsidR="003025E0" w:rsidRDefault="00870E8A" w:rsidP="009841B3">
      <w:pPr>
        <w:pStyle w:val="Ruller4"/>
        <w:rPr>
          <w:rtl/>
        </w:rPr>
      </w:pPr>
      <w:r>
        <w:rPr>
          <w:rFonts w:hint="cs"/>
          <w:rtl/>
        </w:rPr>
        <w:t xml:space="preserve">אקדים ואציין כי במהלך </w:t>
      </w:r>
      <w:r w:rsidR="009D2BF3">
        <w:rPr>
          <w:rFonts w:hint="cs"/>
          <w:rtl/>
        </w:rPr>
        <w:t xml:space="preserve">משפטו של המערער </w:t>
      </w:r>
      <w:r w:rsidR="009E2F73">
        <w:rPr>
          <w:rFonts w:hint="cs"/>
          <w:rtl/>
        </w:rPr>
        <w:t>לא הייתה מחלוקת כי</w:t>
      </w:r>
      <w:r w:rsidR="009D2BF3">
        <w:rPr>
          <w:rFonts w:hint="cs"/>
          <w:rtl/>
        </w:rPr>
        <w:t xml:space="preserve"> הוא שהמית את המנוחה. אל מול תיאור השתלשלות </w:t>
      </w:r>
      <w:r>
        <w:rPr>
          <w:rFonts w:hint="cs"/>
          <w:rtl/>
        </w:rPr>
        <w:t>האירועים כמפורט</w:t>
      </w:r>
      <w:r w:rsidR="009D2BF3">
        <w:rPr>
          <w:rFonts w:hint="cs"/>
          <w:rtl/>
        </w:rPr>
        <w:t xml:space="preserve"> בכתב האישום, </w:t>
      </w:r>
      <w:r w:rsidR="00CE70EA">
        <w:rPr>
          <w:rFonts w:hint="cs"/>
          <w:rtl/>
        </w:rPr>
        <w:t xml:space="preserve">גרסת </w:t>
      </w:r>
      <w:r w:rsidR="00EB051B" w:rsidRPr="007B13F6">
        <w:rPr>
          <w:rFonts w:hint="cs"/>
          <w:rtl/>
        </w:rPr>
        <w:t xml:space="preserve">המערער </w:t>
      </w:r>
      <w:r w:rsidR="00CE70EA">
        <w:rPr>
          <w:rFonts w:hint="cs"/>
          <w:rtl/>
        </w:rPr>
        <w:t>הייתה</w:t>
      </w:r>
      <w:r w:rsidR="009D2BF3">
        <w:rPr>
          <w:rFonts w:hint="cs"/>
          <w:rtl/>
        </w:rPr>
        <w:t xml:space="preserve"> </w:t>
      </w:r>
      <w:r w:rsidR="00EB051B" w:rsidRPr="007B13F6">
        <w:rPr>
          <w:rFonts w:hint="cs"/>
          <w:rtl/>
        </w:rPr>
        <w:t>כי התעורר ו</w:t>
      </w:r>
      <w:r w:rsidR="00F84251">
        <w:rPr>
          <w:rFonts w:hint="cs"/>
          <w:rtl/>
        </w:rPr>
        <w:t>יכוח בינו לבין המנוחה על רקע אי-</w:t>
      </w:r>
      <w:r w:rsidR="00EB051B" w:rsidRPr="007B13F6">
        <w:rPr>
          <w:rFonts w:hint="cs"/>
          <w:rtl/>
        </w:rPr>
        <w:t>שביעות</w:t>
      </w:r>
      <w:r w:rsidR="00EB051B">
        <w:rPr>
          <w:rFonts w:hint="cs"/>
          <w:rtl/>
        </w:rPr>
        <w:t xml:space="preserve"> רצונו מדרך הלבוש של הקטינה ומהתנהגותה. במהלך הוויכוח, המנוחה הטיחה במערער </w:t>
      </w:r>
      <w:r w:rsidR="009841B3">
        <w:rPr>
          <w:rFonts w:hint="cs"/>
          <w:rtl/>
        </w:rPr>
        <w:t xml:space="preserve">כי הוא אינו </w:t>
      </w:r>
      <w:r w:rsidR="00502B70">
        <w:rPr>
          <w:rFonts w:hint="cs"/>
          <w:rtl/>
        </w:rPr>
        <w:t xml:space="preserve">אב הקטינה וצרחה, כלשון הסנגור </w:t>
      </w:r>
      <w:r w:rsidR="00EB051B">
        <w:rPr>
          <w:rFonts w:hint="cs"/>
          <w:rtl/>
        </w:rPr>
        <w:t>"</w:t>
      </w:r>
      <w:r w:rsidR="00EB051B" w:rsidRPr="00952BE7">
        <w:rPr>
          <w:rFonts w:ascii="Century" w:hAnsi="Century" w:cs="Miriam" w:hint="cs"/>
          <w:b/>
          <w:spacing w:val="0"/>
          <w:sz w:val="22"/>
          <w:szCs w:val="24"/>
          <w:rtl/>
        </w:rPr>
        <w:t xml:space="preserve">בפני השכנים </w:t>
      </w:r>
      <w:proofErr w:type="spellStart"/>
      <w:r w:rsidR="00EB051B" w:rsidRPr="00952BE7">
        <w:rPr>
          <w:rFonts w:ascii="Century" w:hAnsi="Century" w:cs="Miriam" w:hint="cs"/>
          <w:b/>
          <w:spacing w:val="0"/>
          <w:sz w:val="22"/>
          <w:szCs w:val="24"/>
          <w:rtl/>
        </w:rPr>
        <w:t>וכו</w:t>
      </w:r>
      <w:proofErr w:type="spellEnd"/>
      <w:r w:rsidR="00EB051B" w:rsidRPr="00952BE7">
        <w:rPr>
          <w:rFonts w:ascii="Century" w:hAnsi="Century" w:cs="Miriam" w:hint="cs"/>
          <w:b/>
          <w:spacing w:val="0"/>
          <w:sz w:val="22"/>
          <w:szCs w:val="24"/>
          <w:rtl/>
        </w:rPr>
        <w:t>'</w:t>
      </w:r>
      <w:r w:rsidR="00EB051B">
        <w:rPr>
          <w:rFonts w:hint="cs"/>
          <w:rtl/>
        </w:rPr>
        <w:t xml:space="preserve">" (פרו' דיון מיום 19.9.2019, עמ' 5, ש' 7-6). בשלב זה, המערער רצה להשתיק אותה, </w:t>
      </w:r>
      <w:r>
        <w:rPr>
          <w:rFonts w:hint="cs"/>
          <w:rtl/>
        </w:rPr>
        <w:t>הניח</w:t>
      </w:r>
      <w:r w:rsidR="00EB051B">
        <w:rPr>
          <w:rFonts w:hint="cs"/>
          <w:rtl/>
        </w:rPr>
        <w:t xml:space="preserve"> את ידיו על פיה וצווארה והיא התמוטטה. לאחר </w:t>
      </w:r>
      <w:r>
        <w:rPr>
          <w:rFonts w:hint="cs"/>
          <w:rtl/>
        </w:rPr>
        <w:t xml:space="preserve">שהבחין כי </w:t>
      </w:r>
      <w:r w:rsidR="00A24571">
        <w:rPr>
          <w:rFonts w:hint="cs"/>
          <w:rtl/>
        </w:rPr>
        <w:t>היא ללא רוח חיים, הביא חבל,</w:t>
      </w:r>
      <w:r w:rsidR="00EB051B">
        <w:rPr>
          <w:rFonts w:hint="cs"/>
          <w:rtl/>
        </w:rPr>
        <w:t xml:space="preserve"> הידק אותו על צווארה על מנת</w:t>
      </w:r>
      <w:r w:rsidR="00952BE7">
        <w:rPr>
          <w:rFonts w:hint="cs"/>
          <w:rtl/>
        </w:rPr>
        <w:t xml:space="preserve"> ליצור מצג לפיו התאבדה</w:t>
      </w:r>
      <w:r w:rsidR="00EB051B">
        <w:rPr>
          <w:rFonts w:hint="cs"/>
          <w:rtl/>
        </w:rPr>
        <w:t xml:space="preserve"> ואז </w:t>
      </w:r>
      <w:r w:rsidR="009E2F73">
        <w:rPr>
          <w:rFonts w:hint="cs"/>
          <w:rtl/>
        </w:rPr>
        <w:t>הסיע את גופתה</w:t>
      </w:r>
      <w:r w:rsidR="00EB051B">
        <w:rPr>
          <w:rFonts w:hint="cs"/>
          <w:rtl/>
        </w:rPr>
        <w:t xml:space="preserve"> ברכבו לחורשה. </w:t>
      </w:r>
    </w:p>
    <w:p w:rsidR="00A04C3A" w:rsidRDefault="00A04C3A" w:rsidP="00A04C3A">
      <w:pPr>
        <w:pStyle w:val="Ruller40"/>
        <w:rPr>
          <w:rtl/>
        </w:rPr>
      </w:pPr>
    </w:p>
    <w:p w:rsidR="00CF7288" w:rsidRDefault="007D1D3B" w:rsidP="00870E8A">
      <w:pPr>
        <w:pStyle w:val="Ruller4"/>
        <w:rPr>
          <w:rtl/>
        </w:rPr>
      </w:pPr>
      <w:r>
        <w:rPr>
          <w:rFonts w:hint="cs"/>
          <w:rtl/>
        </w:rPr>
        <w:t>גרסה זו נדחתה, ו</w:t>
      </w:r>
      <w:r w:rsidR="009D2BF3">
        <w:rPr>
          <w:rFonts w:hint="cs"/>
          <w:rtl/>
        </w:rPr>
        <w:t>בית המשפט המחוזי הרשיע</w:t>
      </w:r>
      <w:r w:rsidR="00FF6FEA">
        <w:rPr>
          <w:rFonts w:hint="cs"/>
          <w:rtl/>
        </w:rPr>
        <w:t xml:space="preserve"> את המערער</w:t>
      </w:r>
      <w:r w:rsidR="009D2BF3">
        <w:rPr>
          <w:rFonts w:hint="cs"/>
          <w:rtl/>
        </w:rPr>
        <w:t xml:space="preserve"> באשר </w:t>
      </w:r>
      <w:r w:rsidR="00870E8A">
        <w:rPr>
          <w:rFonts w:hint="cs"/>
          <w:rtl/>
        </w:rPr>
        <w:t>למ</w:t>
      </w:r>
      <w:r w:rsidR="009D2BF3">
        <w:rPr>
          <w:rFonts w:hint="cs"/>
          <w:rtl/>
        </w:rPr>
        <w:t xml:space="preserve">יוחס לו בכתב האישום. </w:t>
      </w:r>
      <w:r w:rsidR="00CE5262">
        <w:rPr>
          <w:rFonts w:hint="cs"/>
          <w:rtl/>
        </w:rPr>
        <w:t>בהכרעת הדין</w:t>
      </w:r>
      <w:r w:rsidR="00FC1E3C">
        <w:rPr>
          <w:rFonts w:hint="cs"/>
          <w:rtl/>
        </w:rPr>
        <w:t xml:space="preserve"> נ</w:t>
      </w:r>
      <w:r w:rsidR="009D2BF3">
        <w:rPr>
          <w:rFonts w:hint="cs"/>
          <w:rtl/>
        </w:rPr>
        <w:t>קבע</w:t>
      </w:r>
      <w:r w:rsidR="00FD7681">
        <w:rPr>
          <w:rFonts w:hint="cs"/>
          <w:rtl/>
        </w:rPr>
        <w:t>ו</w:t>
      </w:r>
      <w:r w:rsidR="009D2BF3">
        <w:rPr>
          <w:rFonts w:hint="cs"/>
          <w:rtl/>
        </w:rPr>
        <w:t xml:space="preserve"> ממצאים עובדתיים ביחס </w:t>
      </w:r>
      <w:r w:rsidR="00870E8A">
        <w:rPr>
          <w:rFonts w:hint="cs"/>
          <w:rtl/>
        </w:rPr>
        <w:t>ל</w:t>
      </w:r>
      <w:r w:rsidR="009D2BF3">
        <w:rPr>
          <w:rFonts w:hint="cs"/>
          <w:rtl/>
        </w:rPr>
        <w:t xml:space="preserve">מערכת היחסים </w:t>
      </w:r>
      <w:r w:rsidR="00CF7288">
        <w:rPr>
          <w:rFonts w:hint="cs"/>
          <w:rtl/>
        </w:rPr>
        <w:t xml:space="preserve">בין המערער למנוחה; למעשיו של המערער בימים שקדמו להמתת המנוחה; להתרחשות העובדתית במהלך אירוע ההמתה עצמו; ולפעולות המערער לאחר אירוע ההמתה. </w:t>
      </w:r>
      <w:r w:rsidR="00870E8A">
        <w:rPr>
          <w:rFonts w:hint="cs"/>
          <w:rtl/>
        </w:rPr>
        <w:t xml:space="preserve">לצורך סקירה זו אפנה לקביעותיו וממצאיו של בית המשפט המחוזי על ציר הזמן הרלוונטי לענייננו. </w:t>
      </w:r>
    </w:p>
    <w:p w:rsidR="00CF7288" w:rsidRPr="00CF7288" w:rsidRDefault="00CF7288" w:rsidP="00CF7288">
      <w:pPr>
        <w:pStyle w:val="Ruller40"/>
      </w:pPr>
    </w:p>
    <w:p w:rsidR="00EB051B" w:rsidRDefault="009F6228" w:rsidP="00870E8A">
      <w:pPr>
        <w:pStyle w:val="Ruller4"/>
        <w:rPr>
          <w:rtl/>
        </w:rPr>
      </w:pPr>
      <w:r w:rsidRPr="009F6228">
        <w:rPr>
          <w:rFonts w:ascii="Century" w:hAnsi="Century" w:cs="Miriam" w:hint="cs"/>
          <w:b/>
          <w:spacing w:val="0"/>
          <w:sz w:val="22"/>
          <w:szCs w:val="24"/>
          <w:rtl/>
        </w:rPr>
        <w:t>טיב מערכת היחסים בין המערער למנוחה</w:t>
      </w:r>
      <w:r w:rsidRPr="009F6228">
        <w:rPr>
          <w:rFonts w:hint="cs"/>
          <w:rtl/>
        </w:rPr>
        <w:t xml:space="preserve"> </w:t>
      </w:r>
      <w:r>
        <w:rPr>
          <w:rtl/>
        </w:rPr>
        <w:t>–</w:t>
      </w:r>
      <w:r>
        <w:rPr>
          <w:rFonts w:hint="cs"/>
          <w:rtl/>
        </w:rPr>
        <w:t xml:space="preserve"> </w:t>
      </w:r>
      <w:r w:rsidR="003025E0">
        <w:rPr>
          <w:rFonts w:hint="cs"/>
          <w:rtl/>
        </w:rPr>
        <w:t xml:space="preserve">על בסיס </w:t>
      </w:r>
      <w:r w:rsidR="000227EB">
        <w:rPr>
          <w:rFonts w:hint="cs"/>
          <w:rtl/>
        </w:rPr>
        <w:t>עדויות הקטינה, אחות המנוחה ושכני</w:t>
      </w:r>
      <w:r w:rsidR="00952BE7">
        <w:rPr>
          <w:rFonts w:hint="cs"/>
          <w:rtl/>
        </w:rPr>
        <w:t>ה</w:t>
      </w:r>
      <w:r w:rsidR="000227EB">
        <w:rPr>
          <w:rFonts w:hint="cs"/>
          <w:rtl/>
        </w:rPr>
        <w:t>ם</w:t>
      </w:r>
      <w:r w:rsidR="00952BE7">
        <w:rPr>
          <w:rFonts w:hint="cs"/>
          <w:rtl/>
        </w:rPr>
        <w:t xml:space="preserve"> של בני הזוג</w:t>
      </w:r>
      <w:r w:rsidR="000227EB">
        <w:rPr>
          <w:rFonts w:hint="cs"/>
          <w:rtl/>
        </w:rPr>
        <w:t>,</w:t>
      </w:r>
      <w:r w:rsidR="003025E0">
        <w:rPr>
          <w:rFonts w:hint="cs"/>
          <w:rtl/>
        </w:rPr>
        <w:t xml:space="preserve"> </w:t>
      </w:r>
      <w:r w:rsidR="00E76A94">
        <w:rPr>
          <w:rFonts w:hint="cs"/>
          <w:rtl/>
        </w:rPr>
        <w:t xml:space="preserve">נקבע </w:t>
      </w:r>
      <w:r w:rsidR="003025E0">
        <w:rPr>
          <w:rFonts w:hint="cs"/>
          <w:rtl/>
        </w:rPr>
        <w:t>כי מערכת היחסים בין המערער למנוחה הייתה</w:t>
      </w:r>
      <w:r w:rsidR="00F84251">
        <w:rPr>
          <w:rFonts w:hint="cs"/>
          <w:rtl/>
        </w:rPr>
        <w:t xml:space="preserve"> רוויית מריבות, בחלקן על רקע אי-</w:t>
      </w:r>
      <w:r w:rsidR="003025E0">
        <w:rPr>
          <w:rFonts w:hint="cs"/>
          <w:rtl/>
        </w:rPr>
        <w:t>שביעות רצונו של המערער מאופן התנהגות</w:t>
      </w:r>
      <w:r w:rsidR="008F361B">
        <w:rPr>
          <w:rFonts w:hint="cs"/>
          <w:rtl/>
        </w:rPr>
        <w:t>ה</w:t>
      </w:r>
      <w:r w:rsidR="00E76A94">
        <w:rPr>
          <w:rFonts w:hint="cs"/>
          <w:rtl/>
        </w:rPr>
        <w:t>, מחשדו כי היא אינה נאמנה לו</w:t>
      </w:r>
      <w:r w:rsidR="003025E0">
        <w:rPr>
          <w:rFonts w:hint="cs"/>
          <w:rtl/>
        </w:rPr>
        <w:t xml:space="preserve"> </w:t>
      </w:r>
      <w:r w:rsidR="00FC1E3C">
        <w:rPr>
          <w:rFonts w:hint="cs"/>
          <w:rtl/>
        </w:rPr>
        <w:t>ומסברתו כי</w:t>
      </w:r>
      <w:r w:rsidR="003025E0">
        <w:rPr>
          <w:rFonts w:hint="cs"/>
          <w:rtl/>
        </w:rPr>
        <w:t xml:space="preserve"> היא אינה מנהלת אורח חיים מסורתי "מכובד". </w:t>
      </w:r>
      <w:r w:rsidR="000227EB">
        <w:rPr>
          <w:rFonts w:hint="cs"/>
          <w:rtl/>
        </w:rPr>
        <w:t xml:space="preserve">הקטינה אף העידה כי </w:t>
      </w:r>
      <w:r w:rsidR="00351F96">
        <w:rPr>
          <w:rFonts w:hint="cs"/>
          <w:rtl/>
        </w:rPr>
        <w:t xml:space="preserve">המערער </w:t>
      </w:r>
      <w:r w:rsidR="000075E4">
        <w:rPr>
          <w:rFonts w:hint="cs"/>
          <w:rtl/>
        </w:rPr>
        <w:t>נהג באלימות כלפי המנוחה בעבר</w:t>
      </w:r>
      <w:r w:rsidR="000227EB">
        <w:rPr>
          <w:rFonts w:hint="cs"/>
          <w:rtl/>
        </w:rPr>
        <w:t xml:space="preserve"> לא אחת</w:t>
      </w:r>
      <w:r w:rsidR="000075E4">
        <w:rPr>
          <w:rFonts w:hint="cs"/>
          <w:rtl/>
        </w:rPr>
        <w:t xml:space="preserve"> ו</w:t>
      </w:r>
      <w:r w:rsidR="001C272A">
        <w:rPr>
          <w:rFonts w:hint="cs"/>
          <w:rtl/>
        </w:rPr>
        <w:t xml:space="preserve">כי </w:t>
      </w:r>
      <w:r w:rsidR="009F436D">
        <w:rPr>
          <w:rFonts w:hint="cs"/>
          <w:rtl/>
        </w:rPr>
        <w:t xml:space="preserve">המנוחה </w:t>
      </w:r>
      <w:r w:rsidR="00870E8A">
        <w:rPr>
          <w:rFonts w:hint="cs"/>
          <w:rtl/>
        </w:rPr>
        <w:t>חפצה</w:t>
      </w:r>
      <w:r w:rsidR="009F436D">
        <w:rPr>
          <w:rFonts w:hint="cs"/>
          <w:rtl/>
        </w:rPr>
        <w:t xml:space="preserve"> להתגרש ממנו</w:t>
      </w:r>
      <w:r w:rsidR="00351F96">
        <w:rPr>
          <w:rFonts w:hint="cs"/>
          <w:rtl/>
        </w:rPr>
        <w:t>.</w:t>
      </w:r>
      <w:r w:rsidR="006F1EB8">
        <w:rPr>
          <w:rFonts w:hint="cs"/>
          <w:rtl/>
        </w:rPr>
        <w:t xml:space="preserve"> בית המשפט המחוזי התרשם כי עדות הקטינה הייתה מהימנה ביותר וכי יש לאמ</w:t>
      </w:r>
      <w:r w:rsidR="00FF6FEA">
        <w:rPr>
          <w:rFonts w:hint="cs"/>
          <w:rtl/>
        </w:rPr>
        <w:t>צה</w:t>
      </w:r>
      <w:r w:rsidR="006F1EB8">
        <w:rPr>
          <w:rFonts w:hint="cs"/>
          <w:rtl/>
        </w:rPr>
        <w:t>.</w:t>
      </w:r>
      <w:r w:rsidR="00351F96">
        <w:rPr>
          <w:rFonts w:hint="cs"/>
          <w:rtl/>
        </w:rPr>
        <w:t xml:space="preserve"> </w:t>
      </w:r>
    </w:p>
    <w:p w:rsidR="007C75A3" w:rsidRDefault="007C75A3" w:rsidP="007C75A3">
      <w:pPr>
        <w:pStyle w:val="Ruller4"/>
        <w:numPr>
          <w:ilvl w:val="0"/>
          <w:numId w:val="0"/>
        </w:numPr>
        <w:rPr>
          <w:rtl/>
        </w:rPr>
      </w:pPr>
    </w:p>
    <w:p w:rsidR="00FF6FEA" w:rsidRDefault="009F6228" w:rsidP="00870E8A">
      <w:pPr>
        <w:pStyle w:val="Ruller4"/>
        <w:rPr>
          <w:rtl/>
        </w:rPr>
      </w:pPr>
      <w:r w:rsidRPr="009F6228">
        <w:rPr>
          <w:rFonts w:ascii="Century" w:hAnsi="Century" w:cs="Miriam" w:hint="cs"/>
          <w:b/>
          <w:spacing w:val="0"/>
          <w:sz w:val="22"/>
          <w:szCs w:val="24"/>
          <w:rtl/>
        </w:rPr>
        <w:lastRenderedPageBreak/>
        <w:t>מעשיו של המערער בימים שקדמו להמתת המנוחה</w:t>
      </w:r>
      <w:r w:rsidRPr="009F6228">
        <w:rPr>
          <w:rFonts w:hint="cs"/>
          <w:rtl/>
        </w:rPr>
        <w:t xml:space="preserve"> </w:t>
      </w:r>
      <w:r>
        <w:rPr>
          <w:rtl/>
        </w:rPr>
        <w:t>–</w:t>
      </w:r>
      <w:r w:rsidR="006F1EB8">
        <w:rPr>
          <w:rFonts w:hint="cs"/>
          <w:rtl/>
        </w:rPr>
        <w:t xml:space="preserve"> </w:t>
      </w:r>
      <w:r w:rsidR="00562C4B">
        <w:rPr>
          <w:rFonts w:hint="cs"/>
          <w:rtl/>
        </w:rPr>
        <w:t xml:space="preserve">מספר ימים עובר לאירוע, </w:t>
      </w:r>
      <w:r w:rsidR="00CF7288">
        <w:rPr>
          <w:rFonts w:hint="cs"/>
          <w:rtl/>
        </w:rPr>
        <w:t>בשיחת טלפון בין המערער לאחותו</w:t>
      </w:r>
      <w:r w:rsidR="00CE0918">
        <w:rPr>
          <w:rFonts w:hint="cs"/>
          <w:rtl/>
        </w:rPr>
        <w:t xml:space="preserve"> (להלן: </w:t>
      </w:r>
      <w:r w:rsidR="00CE0918" w:rsidRPr="00CE0918">
        <w:rPr>
          <w:rFonts w:ascii="Century" w:hAnsi="Century" w:cs="Miriam" w:hint="cs"/>
          <w:b/>
          <w:spacing w:val="0"/>
          <w:sz w:val="22"/>
          <w:szCs w:val="24"/>
          <w:rtl/>
        </w:rPr>
        <w:t>השיחה הראשונה</w:t>
      </w:r>
      <w:r w:rsidR="00CE0918">
        <w:rPr>
          <w:rFonts w:hint="cs"/>
          <w:rtl/>
        </w:rPr>
        <w:t>)</w:t>
      </w:r>
      <w:r w:rsidR="00CF7288">
        <w:rPr>
          <w:rFonts w:hint="cs"/>
          <w:rtl/>
        </w:rPr>
        <w:t xml:space="preserve">, </w:t>
      </w:r>
      <w:r w:rsidR="00E76A94">
        <w:rPr>
          <w:rFonts w:hint="cs"/>
          <w:rtl/>
        </w:rPr>
        <w:t xml:space="preserve">האחות </w:t>
      </w:r>
      <w:r w:rsidR="00FF6FEA">
        <w:rPr>
          <w:rFonts w:hint="cs"/>
          <w:rtl/>
        </w:rPr>
        <w:t xml:space="preserve">ביקשה </w:t>
      </w:r>
      <w:r w:rsidR="00562C4B">
        <w:rPr>
          <w:rFonts w:hint="cs"/>
          <w:rtl/>
        </w:rPr>
        <w:t xml:space="preserve">סיוע </w:t>
      </w:r>
      <w:r w:rsidR="00E76A94">
        <w:rPr>
          <w:rFonts w:hint="cs"/>
          <w:rtl/>
        </w:rPr>
        <w:t xml:space="preserve">מהמערער </w:t>
      </w:r>
      <w:r w:rsidR="008F361B">
        <w:rPr>
          <w:rFonts w:hint="cs"/>
          <w:rtl/>
        </w:rPr>
        <w:t xml:space="preserve">ביחס לבעלה </w:t>
      </w:r>
      <w:r w:rsidR="008F361B">
        <w:rPr>
          <w:rtl/>
        </w:rPr>
        <w:t>–</w:t>
      </w:r>
      <w:r w:rsidR="008F361B">
        <w:rPr>
          <w:rFonts w:hint="cs"/>
          <w:rtl/>
        </w:rPr>
        <w:t xml:space="preserve"> אחי המנוחה </w:t>
      </w:r>
      <w:r w:rsidR="008F361B">
        <w:rPr>
          <w:rtl/>
        </w:rPr>
        <w:t>–</w:t>
      </w:r>
      <w:r w:rsidR="00562C4B">
        <w:rPr>
          <w:rFonts w:hint="cs"/>
          <w:rtl/>
        </w:rPr>
        <w:t xml:space="preserve"> ואילו </w:t>
      </w:r>
      <w:r w:rsidR="00870E8A">
        <w:rPr>
          <w:rFonts w:hint="cs"/>
          <w:rtl/>
        </w:rPr>
        <w:t>הלה</w:t>
      </w:r>
      <w:r w:rsidR="00562C4B">
        <w:rPr>
          <w:rFonts w:hint="cs"/>
          <w:rtl/>
        </w:rPr>
        <w:t xml:space="preserve"> השיב לה</w:t>
      </w:r>
      <w:r w:rsidR="00870E8A">
        <w:rPr>
          <w:rFonts w:hint="cs"/>
          <w:rtl/>
        </w:rPr>
        <w:t xml:space="preserve"> במילים</w:t>
      </w:r>
      <w:r w:rsidR="00562C4B">
        <w:rPr>
          <w:rFonts w:hint="cs"/>
          <w:rtl/>
        </w:rPr>
        <w:t xml:space="preserve"> "</w:t>
      </w:r>
      <w:r w:rsidR="00562C4B" w:rsidRPr="00E76A94">
        <w:rPr>
          <w:rFonts w:ascii="Century" w:hAnsi="Century" w:cs="Miriam" w:hint="cs"/>
          <w:b/>
          <w:spacing w:val="0"/>
          <w:sz w:val="22"/>
          <w:szCs w:val="24"/>
          <w:rtl/>
        </w:rPr>
        <w:t>קודם כל אני רוצה להתפטר מהזבל שיש אצלי</w:t>
      </w:r>
      <w:r w:rsidR="00562C4B">
        <w:rPr>
          <w:rFonts w:hint="cs"/>
          <w:rtl/>
        </w:rPr>
        <w:t xml:space="preserve">". בשיחה </w:t>
      </w:r>
      <w:r w:rsidR="00E76A94">
        <w:rPr>
          <w:rFonts w:hint="cs"/>
          <w:rtl/>
        </w:rPr>
        <w:t>נוספת בין השניים</w:t>
      </w:r>
      <w:r w:rsidR="00562C4B">
        <w:rPr>
          <w:rFonts w:hint="cs"/>
          <w:rtl/>
        </w:rPr>
        <w:t xml:space="preserve"> שנערכה בסמוך לשיחה הראשונה</w:t>
      </w:r>
      <w:r w:rsidR="00CE0918">
        <w:rPr>
          <w:rFonts w:hint="cs"/>
          <w:rtl/>
        </w:rPr>
        <w:t xml:space="preserve"> (להלן: </w:t>
      </w:r>
      <w:r w:rsidR="00CE0918" w:rsidRPr="00CE0918">
        <w:rPr>
          <w:rFonts w:ascii="Century" w:hAnsi="Century" w:cs="Miriam" w:hint="cs"/>
          <w:b/>
          <w:spacing w:val="0"/>
          <w:sz w:val="22"/>
          <w:szCs w:val="24"/>
          <w:rtl/>
        </w:rPr>
        <w:t xml:space="preserve">השיחה </w:t>
      </w:r>
      <w:proofErr w:type="spellStart"/>
      <w:r w:rsidR="00CE0918" w:rsidRPr="00CE0918">
        <w:rPr>
          <w:rFonts w:ascii="Century" w:hAnsi="Century" w:cs="Miriam" w:hint="cs"/>
          <w:b/>
          <w:spacing w:val="0"/>
          <w:sz w:val="22"/>
          <w:szCs w:val="24"/>
          <w:rtl/>
        </w:rPr>
        <w:t>השניה</w:t>
      </w:r>
      <w:proofErr w:type="spellEnd"/>
      <w:r w:rsidR="00CE0918">
        <w:rPr>
          <w:rFonts w:hint="cs"/>
          <w:rtl/>
        </w:rPr>
        <w:t>)</w:t>
      </w:r>
      <w:r w:rsidR="00562C4B">
        <w:rPr>
          <w:rFonts w:hint="cs"/>
          <w:rtl/>
        </w:rPr>
        <w:t xml:space="preserve">, </w:t>
      </w:r>
      <w:r w:rsidR="004D034F">
        <w:rPr>
          <w:rFonts w:hint="cs"/>
          <w:rtl/>
        </w:rPr>
        <w:t>סיפרה</w:t>
      </w:r>
      <w:r w:rsidR="00562C4B">
        <w:rPr>
          <w:rFonts w:hint="cs"/>
          <w:rtl/>
        </w:rPr>
        <w:t xml:space="preserve"> כי </w:t>
      </w:r>
      <w:r w:rsidR="00E76A94">
        <w:rPr>
          <w:rFonts w:hint="cs"/>
          <w:rtl/>
        </w:rPr>
        <w:t xml:space="preserve">כאשר שוחחו על </w:t>
      </w:r>
      <w:r w:rsidR="00870E8A">
        <w:rPr>
          <w:rFonts w:hint="cs"/>
          <w:rtl/>
        </w:rPr>
        <w:t xml:space="preserve">אודות </w:t>
      </w:r>
      <w:r w:rsidR="00E76A94">
        <w:rPr>
          <w:rFonts w:hint="cs"/>
          <w:rtl/>
        </w:rPr>
        <w:t xml:space="preserve">המנוחה </w:t>
      </w:r>
      <w:r w:rsidR="00870E8A">
        <w:rPr>
          <w:rFonts w:hint="cs"/>
          <w:rtl/>
        </w:rPr>
        <w:t>המערער</w:t>
      </w:r>
      <w:r w:rsidR="00375832">
        <w:rPr>
          <w:rFonts w:hint="cs"/>
          <w:rtl/>
        </w:rPr>
        <w:t xml:space="preserve"> השתמש במילה "</w:t>
      </w:r>
      <w:proofErr w:type="spellStart"/>
      <w:r w:rsidR="00375832" w:rsidRPr="00E76A94">
        <w:rPr>
          <w:rFonts w:ascii="Century" w:hAnsi="Century" w:cs="Miriam" w:hint="cs"/>
          <w:b/>
          <w:spacing w:val="0"/>
          <w:sz w:val="22"/>
          <w:szCs w:val="24"/>
          <w:rtl/>
        </w:rPr>
        <w:t>יקתלהא</w:t>
      </w:r>
      <w:proofErr w:type="spellEnd"/>
      <w:r w:rsidR="00375832">
        <w:rPr>
          <w:rFonts w:hint="cs"/>
          <w:rtl/>
        </w:rPr>
        <w:t xml:space="preserve">" שמשמעותה לרצוח אותה. יוער, כי </w:t>
      </w:r>
      <w:r w:rsidR="004D034F">
        <w:rPr>
          <w:rFonts w:hint="cs"/>
          <w:rtl/>
        </w:rPr>
        <w:t>קיימת</w:t>
      </w:r>
      <w:r w:rsidR="00375832">
        <w:rPr>
          <w:rFonts w:hint="cs"/>
          <w:rtl/>
        </w:rPr>
        <w:t xml:space="preserve"> מחלוקת באשר למשמעות המדויקת של מילה זו, ו</w:t>
      </w:r>
      <w:r w:rsidR="00FF6FEA">
        <w:rPr>
          <w:rFonts w:hint="cs"/>
          <w:rtl/>
        </w:rPr>
        <w:t>למחלוקת זו אתייחס בהרחבה בהמשך.</w:t>
      </w:r>
    </w:p>
    <w:p w:rsidR="00FF6FEA" w:rsidRDefault="00FF6FEA" w:rsidP="00FF6FEA">
      <w:pPr>
        <w:pStyle w:val="Ruller4"/>
        <w:numPr>
          <w:ilvl w:val="0"/>
          <w:numId w:val="0"/>
        </w:numPr>
        <w:rPr>
          <w:rtl/>
        </w:rPr>
      </w:pPr>
    </w:p>
    <w:p w:rsidR="00ED63D4" w:rsidRDefault="00FF6FEA" w:rsidP="00870E8A">
      <w:pPr>
        <w:pStyle w:val="Ruller4"/>
        <w:numPr>
          <w:ilvl w:val="0"/>
          <w:numId w:val="0"/>
        </w:numPr>
        <w:rPr>
          <w:rtl/>
        </w:rPr>
      </w:pPr>
      <w:r>
        <w:rPr>
          <w:rtl/>
        </w:rPr>
        <w:tab/>
      </w:r>
      <w:r w:rsidR="00375832">
        <w:rPr>
          <w:rFonts w:hint="cs"/>
          <w:rtl/>
        </w:rPr>
        <w:t>ב</w:t>
      </w:r>
      <w:r w:rsidR="00870E8A">
        <w:rPr>
          <w:rFonts w:hint="cs"/>
          <w:rtl/>
        </w:rPr>
        <w:t xml:space="preserve">מהלך </w:t>
      </w:r>
      <w:r w:rsidR="00375832">
        <w:rPr>
          <w:rFonts w:hint="cs"/>
          <w:rtl/>
        </w:rPr>
        <w:t>חקיר</w:t>
      </w:r>
      <w:r w:rsidR="00E2202F">
        <w:rPr>
          <w:rFonts w:hint="cs"/>
          <w:rtl/>
        </w:rPr>
        <w:t xml:space="preserve">תה הנגדית </w:t>
      </w:r>
      <w:r>
        <w:rPr>
          <w:rFonts w:hint="cs"/>
          <w:rtl/>
        </w:rPr>
        <w:t xml:space="preserve">האחות </w:t>
      </w:r>
      <w:r w:rsidR="00E2202F">
        <w:rPr>
          <w:rFonts w:hint="cs"/>
          <w:rtl/>
        </w:rPr>
        <w:t>שינתה את גרסת</w:t>
      </w:r>
      <w:r>
        <w:rPr>
          <w:rFonts w:hint="cs"/>
          <w:rtl/>
        </w:rPr>
        <w:t>ה, הכחישה כי שיחות אלו התקיימו ו</w:t>
      </w:r>
      <w:r w:rsidR="00BB7118">
        <w:rPr>
          <w:rFonts w:hint="cs"/>
          <w:rtl/>
        </w:rPr>
        <w:t>טענה כי בעלה דרש ממנה למסור גרסה המסבכת את המערער</w:t>
      </w:r>
      <w:r w:rsidR="009F34BC">
        <w:rPr>
          <w:rFonts w:hint="cs"/>
          <w:rtl/>
        </w:rPr>
        <w:t>.</w:t>
      </w:r>
      <w:r w:rsidR="00BB7118">
        <w:rPr>
          <w:rFonts w:hint="cs"/>
          <w:rtl/>
        </w:rPr>
        <w:t xml:space="preserve"> </w:t>
      </w:r>
      <w:r>
        <w:rPr>
          <w:rFonts w:hint="cs"/>
          <w:rtl/>
        </w:rPr>
        <w:t xml:space="preserve">בשל כך, </w:t>
      </w:r>
      <w:r w:rsidR="009F34BC">
        <w:rPr>
          <w:rFonts w:hint="cs"/>
          <w:rtl/>
        </w:rPr>
        <w:t>האחות</w:t>
      </w:r>
      <w:r w:rsidR="00BB7118">
        <w:rPr>
          <w:rFonts w:hint="cs"/>
          <w:rtl/>
        </w:rPr>
        <w:t xml:space="preserve"> הוכרזה כעדה עוינת. </w:t>
      </w:r>
      <w:r>
        <w:rPr>
          <w:rFonts w:hint="cs"/>
          <w:rtl/>
        </w:rPr>
        <w:t xml:space="preserve">על רקע גרסאות שונות אלו, </w:t>
      </w:r>
      <w:r w:rsidR="00E2202F">
        <w:rPr>
          <w:rFonts w:hint="cs"/>
          <w:rtl/>
        </w:rPr>
        <w:t xml:space="preserve">בית המשפט המחוזי קבע כי דברי האחות בחקירתה הנגדית אינם אמת, וכי יש להעדיף את הגרסה שמסרה בעדותה הראשית, התואמת את </w:t>
      </w:r>
      <w:r w:rsidR="00CE0918">
        <w:rPr>
          <w:rFonts w:hint="cs"/>
          <w:rtl/>
        </w:rPr>
        <w:t xml:space="preserve">הגרסה שמסרה </w:t>
      </w:r>
      <w:r w:rsidR="00E2202F">
        <w:rPr>
          <w:rFonts w:hint="cs"/>
          <w:rtl/>
        </w:rPr>
        <w:t xml:space="preserve">במשטרה. </w:t>
      </w:r>
    </w:p>
    <w:p w:rsidR="00E76A94" w:rsidRPr="00E76A94" w:rsidRDefault="00E76A94" w:rsidP="00E76A94">
      <w:pPr>
        <w:pStyle w:val="Ruller40"/>
        <w:rPr>
          <w:rtl/>
        </w:rPr>
      </w:pPr>
    </w:p>
    <w:p w:rsidR="00C12EFE" w:rsidRDefault="00ED63D4" w:rsidP="00870E8A">
      <w:pPr>
        <w:pStyle w:val="Ruller40"/>
        <w:rPr>
          <w:rtl/>
        </w:rPr>
      </w:pPr>
      <w:r w:rsidRPr="00CF7288">
        <w:rPr>
          <w:rFonts w:ascii="Garamond" w:hAnsi="Garamond"/>
          <w:sz w:val="24"/>
          <w:rtl/>
        </w:rPr>
        <w:tab/>
      </w:r>
      <w:r w:rsidR="00870E8A">
        <w:rPr>
          <w:rFonts w:ascii="Garamond" w:hAnsi="Garamond" w:hint="cs"/>
          <w:sz w:val="24"/>
          <w:rtl/>
        </w:rPr>
        <w:t xml:space="preserve">בפני בית המשפט המחוזי הוצגה </w:t>
      </w:r>
      <w:r w:rsidR="009F6228">
        <w:rPr>
          <w:rFonts w:ascii="Garamond" w:hAnsi="Garamond" w:hint="cs"/>
          <w:sz w:val="24"/>
          <w:rtl/>
        </w:rPr>
        <w:t>רא</w:t>
      </w:r>
      <w:r w:rsidR="006F1EB8">
        <w:rPr>
          <w:rFonts w:ascii="Garamond" w:hAnsi="Garamond" w:hint="cs"/>
          <w:sz w:val="24"/>
          <w:rtl/>
        </w:rPr>
        <w:t>יה נוספת</w:t>
      </w:r>
      <w:r w:rsidR="00870E8A">
        <w:rPr>
          <w:rFonts w:ascii="Garamond" w:hAnsi="Garamond" w:hint="cs"/>
          <w:sz w:val="24"/>
          <w:rtl/>
        </w:rPr>
        <w:t xml:space="preserve"> שלפיה </w:t>
      </w:r>
      <w:r w:rsidR="006F1EB8">
        <w:rPr>
          <w:rFonts w:ascii="Garamond" w:hAnsi="Garamond" w:hint="cs"/>
          <w:sz w:val="24"/>
          <w:rtl/>
        </w:rPr>
        <w:t xml:space="preserve">המערער התקשר </w:t>
      </w:r>
      <w:r>
        <w:rPr>
          <w:rFonts w:hint="cs"/>
          <w:rtl/>
        </w:rPr>
        <w:t>לקטינה ביום האירוע, בשעה 15:</w:t>
      </w:r>
      <w:r w:rsidR="007C75A3">
        <w:rPr>
          <w:rFonts w:hint="cs"/>
          <w:rtl/>
        </w:rPr>
        <w:t xml:space="preserve">30, </w:t>
      </w:r>
      <w:r w:rsidR="006F1EB8">
        <w:rPr>
          <w:rFonts w:hint="cs"/>
          <w:rtl/>
        </w:rPr>
        <w:t>ו</w:t>
      </w:r>
      <w:r w:rsidR="007C75A3">
        <w:rPr>
          <w:rFonts w:hint="cs"/>
          <w:rtl/>
        </w:rPr>
        <w:t xml:space="preserve">שאל </w:t>
      </w:r>
      <w:r w:rsidR="006F1EB8">
        <w:rPr>
          <w:rFonts w:hint="cs"/>
          <w:rtl/>
        </w:rPr>
        <w:t>אותה</w:t>
      </w:r>
      <w:r w:rsidR="007C75A3">
        <w:rPr>
          <w:rFonts w:hint="cs"/>
          <w:rtl/>
        </w:rPr>
        <w:t xml:space="preserve"> </w:t>
      </w:r>
      <w:r>
        <w:rPr>
          <w:rFonts w:hint="cs"/>
          <w:rtl/>
        </w:rPr>
        <w:t>מתי היא אמורה לחזור</w:t>
      </w:r>
      <w:r w:rsidR="00CE0918">
        <w:rPr>
          <w:rFonts w:hint="cs"/>
          <w:rtl/>
        </w:rPr>
        <w:t xml:space="preserve"> </w:t>
      </w:r>
      <w:r w:rsidR="00870E8A">
        <w:rPr>
          <w:rFonts w:hint="cs"/>
          <w:rtl/>
        </w:rPr>
        <w:t xml:space="preserve">לבית </w:t>
      </w:r>
      <w:r w:rsidR="00CE0918">
        <w:rPr>
          <w:rFonts w:hint="cs"/>
          <w:rtl/>
        </w:rPr>
        <w:t xml:space="preserve">(להלן: </w:t>
      </w:r>
      <w:r w:rsidR="00CE0918" w:rsidRPr="00CE0918">
        <w:rPr>
          <w:rFonts w:ascii="Century" w:hAnsi="Century" w:cs="Miriam" w:hint="cs"/>
          <w:b/>
          <w:spacing w:val="0"/>
          <w:szCs w:val="24"/>
          <w:rtl/>
        </w:rPr>
        <w:t>השיחה המקדימה</w:t>
      </w:r>
      <w:r w:rsidR="00CE0918">
        <w:rPr>
          <w:rFonts w:hint="cs"/>
          <w:rtl/>
        </w:rPr>
        <w:t>)</w:t>
      </w:r>
      <w:r>
        <w:rPr>
          <w:rFonts w:hint="cs"/>
          <w:rtl/>
        </w:rPr>
        <w:t xml:space="preserve">. </w:t>
      </w:r>
      <w:r w:rsidR="00870E8A">
        <w:rPr>
          <w:rFonts w:hint="cs"/>
          <w:rtl/>
        </w:rPr>
        <w:t>נ</w:t>
      </w:r>
      <w:r w:rsidR="007C75A3">
        <w:rPr>
          <w:rFonts w:hint="cs"/>
          <w:rtl/>
        </w:rPr>
        <w:t>קבע</w:t>
      </w:r>
      <w:r w:rsidR="00870E8A">
        <w:rPr>
          <w:rFonts w:hint="cs"/>
          <w:rtl/>
        </w:rPr>
        <w:t>,</w:t>
      </w:r>
      <w:r w:rsidR="007C75A3">
        <w:rPr>
          <w:rFonts w:hint="cs"/>
          <w:rtl/>
        </w:rPr>
        <w:t xml:space="preserve"> כי </w:t>
      </w:r>
      <w:r w:rsidR="00870E8A">
        <w:rPr>
          <w:rFonts w:hint="cs"/>
          <w:rtl/>
        </w:rPr>
        <w:t xml:space="preserve">כפי שטענה המשיבה </w:t>
      </w:r>
      <w:r w:rsidR="007C75A3">
        <w:rPr>
          <w:rFonts w:hint="cs"/>
          <w:rtl/>
        </w:rPr>
        <w:t xml:space="preserve">מדובר בשיחה חריגה. </w:t>
      </w:r>
    </w:p>
    <w:p w:rsidR="009922E5" w:rsidRDefault="009922E5" w:rsidP="00D826FB">
      <w:pPr>
        <w:pStyle w:val="Ruller40"/>
        <w:rPr>
          <w:rtl/>
        </w:rPr>
      </w:pPr>
    </w:p>
    <w:p w:rsidR="003907D0" w:rsidRDefault="009F6228" w:rsidP="00870E8A">
      <w:pPr>
        <w:pStyle w:val="Ruller4"/>
      </w:pPr>
      <w:r w:rsidRPr="009F6228">
        <w:rPr>
          <w:rFonts w:ascii="Century" w:hAnsi="Century" w:cs="Miriam" w:hint="cs"/>
          <w:b/>
          <w:spacing w:val="0"/>
          <w:sz w:val="22"/>
          <w:szCs w:val="24"/>
          <w:rtl/>
        </w:rPr>
        <w:t>אירוע ההמתה עצמו</w:t>
      </w:r>
      <w:r w:rsidRPr="009F6228">
        <w:rPr>
          <w:rFonts w:hint="cs"/>
          <w:rtl/>
        </w:rPr>
        <w:t xml:space="preserve"> </w:t>
      </w:r>
      <w:r>
        <w:rPr>
          <w:rtl/>
        </w:rPr>
        <w:t>–</w:t>
      </w:r>
      <w:r>
        <w:rPr>
          <w:rFonts w:hint="cs"/>
          <w:rtl/>
        </w:rPr>
        <w:t xml:space="preserve"> לעניין זה </w:t>
      </w:r>
      <w:r w:rsidR="006F1EB8">
        <w:rPr>
          <w:rFonts w:hint="cs"/>
          <w:rtl/>
        </w:rPr>
        <w:t>הוגשה</w:t>
      </w:r>
      <w:r w:rsidR="003907D0">
        <w:rPr>
          <w:rFonts w:hint="cs"/>
          <w:rtl/>
        </w:rPr>
        <w:t xml:space="preserve"> חוות דעת</w:t>
      </w:r>
      <w:r w:rsidR="006F1EB8">
        <w:rPr>
          <w:rFonts w:hint="cs"/>
          <w:rtl/>
        </w:rPr>
        <w:t xml:space="preserve"> מומחה שערך</w:t>
      </w:r>
      <w:r w:rsidR="003907D0">
        <w:rPr>
          <w:rFonts w:hint="cs"/>
          <w:rtl/>
        </w:rPr>
        <w:t xml:space="preserve"> ד"ר </w:t>
      </w:r>
      <w:proofErr w:type="spellStart"/>
      <w:r w:rsidR="003907D0">
        <w:rPr>
          <w:rFonts w:hint="cs"/>
          <w:rtl/>
        </w:rPr>
        <w:t>קריספין</w:t>
      </w:r>
      <w:proofErr w:type="spellEnd"/>
      <w:r w:rsidR="006F1EB8">
        <w:rPr>
          <w:rFonts w:hint="cs"/>
          <w:rtl/>
        </w:rPr>
        <w:t>. לפי חוות הדעת, מות</w:t>
      </w:r>
      <w:r w:rsidR="00CE0918">
        <w:rPr>
          <w:rFonts w:hint="cs"/>
          <w:rtl/>
        </w:rPr>
        <w:t xml:space="preserve"> המנוחה נגרם, קרוב לוודאי, כתוצאה מ"תשניק מכני" בעקבות הפעלת לחץ על הצוואר. </w:t>
      </w:r>
      <w:r w:rsidR="006F1EB8">
        <w:rPr>
          <w:rFonts w:hint="cs"/>
          <w:rtl/>
        </w:rPr>
        <w:t xml:space="preserve">נכתב </w:t>
      </w:r>
      <w:r w:rsidR="006F1EB8">
        <w:rPr>
          <w:rtl/>
        </w:rPr>
        <w:t>–</w:t>
      </w:r>
      <w:r w:rsidR="006F1EB8">
        <w:rPr>
          <w:rFonts w:hint="cs"/>
          <w:rtl/>
        </w:rPr>
        <w:t xml:space="preserve"> </w:t>
      </w:r>
      <w:r w:rsidR="00CE0918">
        <w:rPr>
          <w:rFonts w:hint="cs"/>
          <w:rtl/>
        </w:rPr>
        <w:t>"</w:t>
      </w:r>
      <w:r w:rsidR="00CE0918" w:rsidRPr="00521103">
        <w:rPr>
          <w:rFonts w:ascii="Century" w:hAnsi="Century" w:cs="Miriam" w:hint="cs"/>
          <w:b/>
          <w:spacing w:val="0"/>
          <w:sz w:val="22"/>
          <w:szCs w:val="24"/>
          <w:rtl/>
        </w:rPr>
        <w:t xml:space="preserve">קרוב לוודאי, המוות נגרם באמצעות הפעלת לחץ על הצוואר </w:t>
      </w:r>
      <w:r w:rsidR="001047DF" w:rsidRPr="00521103">
        <w:rPr>
          <w:rFonts w:ascii="Century" w:hAnsi="Century" w:cs="Miriam" w:hint="cs"/>
          <w:b/>
          <w:spacing w:val="0"/>
          <w:sz w:val="22"/>
          <w:szCs w:val="24"/>
          <w:rtl/>
        </w:rPr>
        <w:t>בצורה כלשהי באמצעות כפות ידיים, זרועות או אמות, ולא על ידי לולאת חבל/חוט. בכל זאת, לא ניתן לשלול כי כריכת החוט/חבל</w:t>
      </w:r>
      <w:r w:rsidR="00521103" w:rsidRPr="00521103">
        <w:rPr>
          <w:rFonts w:ascii="Century" w:hAnsi="Century" w:cs="Miriam" w:hint="cs"/>
          <w:b/>
          <w:spacing w:val="0"/>
          <w:sz w:val="22"/>
          <w:szCs w:val="24"/>
          <w:rtl/>
        </w:rPr>
        <w:t xml:space="preserve"> סביב הצוואר היא שגרמה למוות</w:t>
      </w:r>
      <w:r w:rsidR="00521103">
        <w:rPr>
          <w:rFonts w:hint="cs"/>
          <w:rtl/>
        </w:rPr>
        <w:t>" (ת/186, עמ' 9-8).</w:t>
      </w:r>
      <w:r w:rsidR="001047DF">
        <w:rPr>
          <w:rFonts w:hint="cs"/>
          <w:rtl/>
        </w:rPr>
        <w:t xml:space="preserve"> </w:t>
      </w:r>
      <w:r w:rsidR="003E61B5">
        <w:rPr>
          <w:rFonts w:hint="cs"/>
          <w:rtl/>
        </w:rPr>
        <w:t>לדברי</w:t>
      </w:r>
      <w:r w:rsidR="003907D0">
        <w:rPr>
          <w:rFonts w:hint="cs"/>
          <w:rtl/>
        </w:rPr>
        <w:t xml:space="preserve"> ד"ר </w:t>
      </w:r>
      <w:proofErr w:type="spellStart"/>
      <w:r w:rsidR="003907D0">
        <w:rPr>
          <w:rFonts w:hint="cs"/>
          <w:rtl/>
        </w:rPr>
        <w:t>קריספין</w:t>
      </w:r>
      <w:proofErr w:type="spellEnd"/>
      <w:r w:rsidR="003907D0">
        <w:rPr>
          <w:rFonts w:hint="cs"/>
          <w:rtl/>
        </w:rPr>
        <w:t xml:space="preserve"> </w:t>
      </w:r>
      <w:r w:rsidR="003E61B5">
        <w:rPr>
          <w:rFonts w:hint="cs"/>
          <w:rtl/>
        </w:rPr>
        <w:t>בעדותו בבית המשפט</w:t>
      </w:r>
      <w:r w:rsidR="005C6189">
        <w:rPr>
          <w:rFonts w:hint="cs"/>
          <w:rtl/>
        </w:rPr>
        <w:t>,</w:t>
      </w:r>
      <w:r w:rsidR="003E61B5">
        <w:rPr>
          <w:rFonts w:hint="cs"/>
          <w:rtl/>
        </w:rPr>
        <w:t xml:space="preserve"> </w:t>
      </w:r>
      <w:r w:rsidR="003907D0">
        <w:rPr>
          <w:rFonts w:hint="cs"/>
          <w:rtl/>
        </w:rPr>
        <w:t xml:space="preserve">ממצאיו מלמדים </w:t>
      </w:r>
      <w:r w:rsidR="00870E8A">
        <w:rPr>
          <w:rFonts w:hint="cs"/>
          <w:rtl/>
        </w:rPr>
        <w:t xml:space="preserve">כי </w:t>
      </w:r>
      <w:r w:rsidR="003907D0">
        <w:rPr>
          <w:rFonts w:hint="cs"/>
          <w:rtl/>
        </w:rPr>
        <w:t>המנוחה נאבקה וניסתה לשחרר עצמה מהחניקה. על בסיס חוות הדעת</w:t>
      </w:r>
      <w:r w:rsidR="00813A06">
        <w:rPr>
          <w:rFonts w:hint="cs"/>
          <w:rtl/>
        </w:rPr>
        <w:t xml:space="preserve"> וראיות נוספות</w:t>
      </w:r>
      <w:r w:rsidR="003907D0">
        <w:rPr>
          <w:rFonts w:hint="cs"/>
          <w:rtl/>
        </w:rPr>
        <w:t xml:space="preserve">, נקבע כי לא ניתן לבסס מסקנה רפואית </w:t>
      </w:r>
      <w:r w:rsidR="00870E8A">
        <w:rPr>
          <w:rFonts w:hint="cs"/>
          <w:rtl/>
        </w:rPr>
        <w:t>באשר</w:t>
      </w:r>
      <w:r w:rsidR="003907D0">
        <w:rPr>
          <w:rFonts w:hint="cs"/>
          <w:rtl/>
        </w:rPr>
        <w:t xml:space="preserve"> </w:t>
      </w:r>
      <w:r w:rsidR="00870E8A">
        <w:rPr>
          <w:rFonts w:hint="cs"/>
          <w:rtl/>
        </w:rPr>
        <w:t>ל</w:t>
      </w:r>
      <w:r w:rsidR="003907D0">
        <w:rPr>
          <w:rFonts w:hint="cs"/>
          <w:rtl/>
        </w:rPr>
        <w:t xml:space="preserve">שלב </w:t>
      </w:r>
      <w:r w:rsidR="00870E8A">
        <w:rPr>
          <w:rFonts w:hint="cs"/>
          <w:rtl/>
        </w:rPr>
        <w:t>מות</w:t>
      </w:r>
      <w:r w:rsidR="003907D0">
        <w:rPr>
          <w:rFonts w:hint="cs"/>
          <w:rtl/>
        </w:rPr>
        <w:t xml:space="preserve"> המנוחה </w:t>
      </w:r>
      <w:r w:rsidR="003907D0">
        <w:rPr>
          <w:rtl/>
        </w:rPr>
        <w:t>–</w:t>
      </w:r>
      <w:r w:rsidR="003907D0">
        <w:rPr>
          <w:rFonts w:hint="cs"/>
          <w:rtl/>
        </w:rPr>
        <w:t xml:space="preserve"> הנחת הידיים על הפה, כריכת הזרוע סביב צווארה או הידוק החבל.</w:t>
      </w:r>
    </w:p>
    <w:p w:rsidR="003907D0" w:rsidRDefault="003907D0" w:rsidP="003907D0">
      <w:pPr>
        <w:pStyle w:val="Ruller4"/>
        <w:numPr>
          <w:ilvl w:val="0"/>
          <w:numId w:val="0"/>
        </w:numPr>
        <w:rPr>
          <w:rtl/>
        </w:rPr>
      </w:pPr>
    </w:p>
    <w:p w:rsidR="006F1EB8" w:rsidRDefault="009F6228" w:rsidP="003E61B5">
      <w:pPr>
        <w:pStyle w:val="Ruller4"/>
        <w:numPr>
          <w:ilvl w:val="0"/>
          <w:numId w:val="0"/>
        </w:numPr>
        <w:rPr>
          <w:rtl/>
        </w:rPr>
      </w:pPr>
      <w:r>
        <w:rPr>
          <w:rtl/>
        </w:rPr>
        <w:tab/>
      </w:r>
      <w:r w:rsidR="003907D0">
        <w:rPr>
          <w:rFonts w:hint="cs"/>
          <w:rtl/>
        </w:rPr>
        <w:t>ה</w:t>
      </w:r>
      <w:r w:rsidR="009922E5" w:rsidRPr="00CF7288">
        <w:rPr>
          <w:rFonts w:hint="cs"/>
          <w:rtl/>
        </w:rPr>
        <w:t>מערער טען</w:t>
      </w:r>
      <w:r w:rsidR="00FF6FEA">
        <w:rPr>
          <w:rFonts w:hint="cs"/>
          <w:rtl/>
        </w:rPr>
        <w:t>,</w:t>
      </w:r>
      <w:r w:rsidR="009922E5">
        <w:rPr>
          <w:rFonts w:hint="cs"/>
          <w:rtl/>
        </w:rPr>
        <w:t xml:space="preserve"> כאמור</w:t>
      </w:r>
      <w:r w:rsidR="00FF6FEA">
        <w:rPr>
          <w:rFonts w:hint="cs"/>
          <w:rtl/>
        </w:rPr>
        <w:t>,</w:t>
      </w:r>
      <w:r w:rsidR="009922E5">
        <w:rPr>
          <w:rFonts w:hint="cs"/>
          <w:rtl/>
        </w:rPr>
        <w:t xml:space="preserve"> כי המנוחה קנטרה אותו בכך שצעקה כי הקטינה אינה </w:t>
      </w:r>
      <w:r w:rsidR="003E61B5">
        <w:rPr>
          <w:rFonts w:hint="cs"/>
          <w:rtl/>
        </w:rPr>
        <w:t>בתו</w:t>
      </w:r>
      <w:r w:rsidR="009922E5">
        <w:rPr>
          <w:rFonts w:hint="cs"/>
          <w:rtl/>
        </w:rPr>
        <w:t>. טענה זו נדחתה</w:t>
      </w:r>
      <w:r w:rsidR="00FF6FEA">
        <w:rPr>
          <w:rFonts w:hint="cs"/>
          <w:rtl/>
        </w:rPr>
        <w:t xml:space="preserve"> גם כן</w:t>
      </w:r>
      <w:r w:rsidR="009922E5">
        <w:rPr>
          <w:rFonts w:hint="cs"/>
          <w:rtl/>
        </w:rPr>
        <w:t xml:space="preserve">, </w:t>
      </w:r>
      <w:r w:rsidR="00FF6FEA">
        <w:rPr>
          <w:rFonts w:hint="cs"/>
          <w:rtl/>
        </w:rPr>
        <w:t>בהיותה</w:t>
      </w:r>
      <w:r w:rsidR="009922E5">
        <w:rPr>
          <w:rFonts w:hint="cs"/>
          <w:rtl/>
        </w:rPr>
        <w:t xml:space="preserve"> </w:t>
      </w:r>
      <w:r w:rsidR="00870E8A">
        <w:rPr>
          <w:rFonts w:hint="cs"/>
          <w:rtl/>
        </w:rPr>
        <w:t>"</w:t>
      </w:r>
      <w:r w:rsidR="00FF6FEA">
        <w:rPr>
          <w:rFonts w:hint="cs"/>
          <w:rtl/>
        </w:rPr>
        <w:t>גרסה</w:t>
      </w:r>
      <w:r w:rsidR="009922E5">
        <w:rPr>
          <w:rFonts w:hint="cs"/>
          <w:rtl/>
        </w:rPr>
        <w:t xml:space="preserve"> כבושה</w:t>
      </w:r>
      <w:r w:rsidR="00870E8A">
        <w:rPr>
          <w:rFonts w:hint="cs"/>
          <w:rtl/>
        </w:rPr>
        <w:t>"</w:t>
      </w:r>
      <w:r w:rsidR="009922E5">
        <w:rPr>
          <w:rFonts w:hint="cs"/>
          <w:rtl/>
        </w:rPr>
        <w:t>, שכן היא לא הועלתה בחקירותיו של המערער במשטרה; נוכח חוסר מהימנות</w:t>
      </w:r>
      <w:r w:rsidR="006F1EB8">
        <w:rPr>
          <w:rFonts w:hint="cs"/>
          <w:rtl/>
        </w:rPr>
        <w:t>ה</w:t>
      </w:r>
      <w:r w:rsidR="009922E5">
        <w:rPr>
          <w:rFonts w:hint="cs"/>
          <w:rtl/>
        </w:rPr>
        <w:t xml:space="preserve">; </w:t>
      </w:r>
      <w:r w:rsidR="005D17BF">
        <w:rPr>
          <w:rFonts w:hint="cs"/>
          <w:rtl/>
        </w:rPr>
        <w:t>ו</w:t>
      </w:r>
      <w:r w:rsidR="009922E5">
        <w:rPr>
          <w:rFonts w:hint="cs"/>
          <w:rtl/>
        </w:rPr>
        <w:t>מאחר שהמערער הודה כי</w:t>
      </w:r>
      <w:r w:rsidR="006F1EB8">
        <w:rPr>
          <w:rFonts w:hint="cs"/>
          <w:rtl/>
        </w:rPr>
        <w:t xml:space="preserve"> ממילא</w:t>
      </w:r>
      <w:r w:rsidR="009922E5">
        <w:rPr>
          <w:rFonts w:hint="cs"/>
          <w:rtl/>
        </w:rPr>
        <w:t xml:space="preserve"> חשד במהלך השנים </w:t>
      </w:r>
      <w:r w:rsidR="006F1EB8">
        <w:rPr>
          <w:rFonts w:hint="cs"/>
          <w:rtl/>
        </w:rPr>
        <w:t>ש</w:t>
      </w:r>
      <w:r w:rsidR="009922E5">
        <w:rPr>
          <w:rFonts w:hint="cs"/>
          <w:rtl/>
        </w:rPr>
        <w:t xml:space="preserve">הקטינה אינה </w:t>
      </w:r>
      <w:r w:rsidR="003E61B5">
        <w:rPr>
          <w:rFonts w:hint="cs"/>
          <w:rtl/>
        </w:rPr>
        <w:t>בתו</w:t>
      </w:r>
      <w:r w:rsidR="007C75A3">
        <w:rPr>
          <w:rFonts w:hint="cs"/>
          <w:rtl/>
        </w:rPr>
        <w:t>.</w:t>
      </w:r>
    </w:p>
    <w:p w:rsidR="00FF6FEA" w:rsidRPr="00FF6FEA" w:rsidRDefault="00FF6FEA" w:rsidP="00FF6FEA">
      <w:pPr>
        <w:pStyle w:val="Ruller40"/>
        <w:rPr>
          <w:rtl/>
        </w:rPr>
      </w:pPr>
    </w:p>
    <w:p w:rsidR="009922E5" w:rsidRDefault="006F1EB8" w:rsidP="00926975">
      <w:pPr>
        <w:pStyle w:val="Ruller4"/>
        <w:numPr>
          <w:ilvl w:val="0"/>
          <w:numId w:val="0"/>
        </w:numPr>
        <w:rPr>
          <w:rtl/>
        </w:rPr>
      </w:pPr>
      <w:r>
        <w:rPr>
          <w:rtl/>
        </w:rPr>
        <w:lastRenderedPageBreak/>
        <w:tab/>
      </w:r>
      <w:r w:rsidR="00E470E1">
        <w:rPr>
          <w:rFonts w:hint="cs"/>
          <w:rtl/>
        </w:rPr>
        <w:t xml:space="preserve">בית המשפט המחוזי הוסיף כי הוכח שהמערער </w:t>
      </w:r>
      <w:r w:rsidR="003D174F">
        <w:rPr>
          <w:rFonts w:hint="cs"/>
          <w:rtl/>
        </w:rPr>
        <w:t>"</w:t>
      </w:r>
      <w:r w:rsidR="00E470E1">
        <w:rPr>
          <w:rFonts w:hint="cs"/>
          <w:rtl/>
        </w:rPr>
        <w:t>סתם</w:t>
      </w:r>
      <w:r w:rsidR="003D174F">
        <w:rPr>
          <w:rFonts w:hint="cs"/>
          <w:rtl/>
        </w:rPr>
        <w:t>"</w:t>
      </w:r>
      <w:r w:rsidR="00E470E1">
        <w:rPr>
          <w:rFonts w:hint="cs"/>
          <w:rtl/>
        </w:rPr>
        <w:t xml:space="preserve"> את</w:t>
      </w:r>
      <w:r w:rsidR="003E61B5">
        <w:rPr>
          <w:rFonts w:hint="cs"/>
          <w:rtl/>
        </w:rPr>
        <w:t xml:space="preserve"> פיה ואפה של המנוחה באמצעות ידו</w:t>
      </w:r>
      <w:r w:rsidR="00E470E1">
        <w:rPr>
          <w:rFonts w:hint="cs"/>
          <w:rtl/>
        </w:rPr>
        <w:t xml:space="preserve"> עד אשר </w:t>
      </w:r>
      <w:r w:rsidR="003E61B5">
        <w:rPr>
          <w:rFonts w:hint="cs"/>
          <w:rtl/>
        </w:rPr>
        <w:t>פסקה מ</w:t>
      </w:r>
      <w:r w:rsidR="00E470E1">
        <w:rPr>
          <w:rFonts w:hint="cs"/>
          <w:rtl/>
        </w:rPr>
        <w:t xml:space="preserve">לנשום. אז, כרך את </w:t>
      </w:r>
      <w:r w:rsidR="003E61B5">
        <w:rPr>
          <w:rFonts w:hint="cs"/>
          <w:rtl/>
        </w:rPr>
        <w:t>זרועו</w:t>
      </w:r>
      <w:r w:rsidR="00E470E1">
        <w:rPr>
          <w:rFonts w:hint="cs"/>
          <w:rtl/>
        </w:rPr>
        <w:t xml:space="preserve"> סביב צווארה והמשיך לחנוק אותה. כאשר נפלה ארצה, </w:t>
      </w:r>
      <w:r w:rsidR="0099278C">
        <w:rPr>
          <w:rFonts w:hint="cs"/>
          <w:rtl/>
        </w:rPr>
        <w:t>כרך חבל על צווארה והידק בחוזקה.</w:t>
      </w:r>
      <w:r w:rsidR="00FF6FEA">
        <w:rPr>
          <w:rFonts w:hint="cs"/>
          <w:rtl/>
        </w:rPr>
        <w:t xml:space="preserve"> עוד</w:t>
      </w:r>
      <w:r w:rsidR="00E470E1">
        <w:rPr>
          <w:rFonts w:hint="cs"/>
          <w:rtl/>
        </w:rPr>
        <w:t xml:space="preserve"> עמד </w:t>
      </w:r>
      <w:r w:rsidR="003D174F">
        <w:rPr>
          <w:rFonts w:hint="cs"/>
          <w:rtl/>
        </w:rPr>
        <w:t xml:space="preserve">בית המשפט </w:t>
      </w:r>
      <w:r w:rsidR="00E470E1">
        <w:rPr>
          <w:rFonts w:hint="cs"/>
          <w:rtl/>
        </w:rPr>
        <w:t>על כך ש</w:t>
      </w:r>
      <w:r w:rsidR="005D17BF">
        <w:rPr>
          <w:rFonts w:hint="cs"/>
          <w:rtl/>
        </w:rPr>
        <w:t xml:space="preserve">המערער </w:t>
      </w:r>
      <w:r w:rsidR="003907D0">
        <w:rPr>
          <w:rFonts w:hint="cs"/>
          <w:rtl/>
        </w:rPr>
        <w:t>סיפר</w:t>
      </w:r>
      <w:r w:rsidR="005D17BF">
        <w:rPr>
          <w:rFonts w:hint="cs"/>
          <w:rtl/>
        </w:rPr>
        <w:t xml:space="preserve"> כי הניח את ידיו על פיה של המנוחה על מנת להשתיק</w:t>
      </w:r>
      <w:r w:rsidR="003E61B5">
        <w:rPr>
          <w:rFonts w:hint="cs"/>
          <w:rtl/>
        </w:rPr>
        <w:t>ה</w:t>
      </w:r>
      <w:r w:rsidR="005D17BF">
        <w:rPr>
          <w:rFonts w:hint="cs"/>
          <w:rtl/>
        </w:rPr>
        <w:t xml:space="preserve"> ול</w:t>
      </w:r>
      <w:r w:rsidR="00E470E1">
        <w:rPr>
          <w:rFonts w:hint="cs"/>
          <w:rtl/>
        </w:rPr>
        <w:t xml:space="preserve">אחר מכן לפת את צווארה עם זרועו, אולם </w:t>
      </w:r>
      <w:r w:rsidR="005D17BF">
        <w:rPr>
          <w:rFonts w:hint="cs"/>
          <w:rtl/>
        </w:rPr>
        <w:t xml:space="preserve">כאשר נשאל מדוע חנק את המנוחה עם </w:t>
      </w:r>
      <w:r w:rsidR="003E61B5">
        <w:rPr>
          <w:rFonts w:hint="cs"/>
          <w:rtl/>
        </w:rPr>
        <w:t>זרועו לאחר שפסקה מל</w:t>
      </w:r>
      <w:r w:rsidR="005D17BF">
        <w:rPr>
          <w:rFonts w:hint="cs"/>
          <w:rtl/>
        </w:rPr>
        <w:t xml:space="preserve">צעוק, </w:t>
      </w:r>
      <w:r w:rsidR="00E470E1">
        <w:rPr>
          <w:rFonts w:hint="cs"/>
          <w:rtl/>
        </w:rPr>
        <w:t>כל שהשיב היה</w:t>
      </w:r>
      <w:r w:rsidR="005D17BF">
        <w:rPr>
          <w:rFonts w:hint="cs"/>
          <w:rtl/>
        </w:rPr>
        <w:t xml:space="preserve"> "בזמנו הייתי ב</w:t>
      </w:r>
      <w:r w:rsidR="00926975">
        <w:rPr>
          <w:rFonts w:hint="cs"/>
          <w:rtl/>
        </w:rPr>
        <w:t xml:space="preserve">הלם". את הידוק החבל סביב צוואר </w:t>
      </w:r>
      <w:r w:rsidR="005D17BF">
        <w:rPr>
          <w:rFonts w:hint="cs"/>
          <w:rtl/>
        </w:rPr>
        <w:t>המנוחה הס</w:t>
      </w:r>
      <w:r w:rsidR="00E470E1">
        <w:rPr>
          <w:rFonts w:hint="cs"/>
          <w:rtl/>
        </w:rPr>
        <w:t xml:space="preserve">ביר ברצונו לביים התאבדות בתלייה, אולם בית המשפט מצא גרסה זו "משוללת היגיון" מאחר שהמערער </w:t>
      </w:r>
      <w:r w:rsidR="005D17BF">
        <w:rPr>
          <w:rFonts w:hint="cs"/>
          <w:rtl/>
        </w:rPr>
        <w:t xml:space="preserve">העביר את </w:t>
      </w:r>
      <w:r w:rsidR="00E470E1">
        <w:rPr>
          <w:rFonts w:hint="cs"/>
          <w:rtl/>
        </w:rPr>
        <w:t>גופת המנוחה</w:t>
      </w:r>
      <w:r w:rsidR="005D17BF">
        <w:rPr>
          <w:rFonts w:hint="cs"/>
          <w:rtl/>
        </w:rPr>
        <w:t xml:space="preserve"> לרכב וניסה להסתיר אותה כאמור. </w:t>
      </w:r>
      <w:r w:rsidR="00F96D76">
        <w:rPr>
          <w:rFonts w:hint="cs"/>
          <w:rtl/>
        </w:rPr>
        <w:t xml:space="preserve">ממצא עובדתי נוסף ביחס לשלב זה, היה כי התינוק היה נוכח בכל </w:t>
      </w:r>
      <w:r w:rsidR="003D174F">
        <w:rPr>
          <w:rFonts w:hint="cs"/>
          <w:rtl/>
        </w:rPr>
        <w:t>אותה העת</w:t>
      </w:r>
      <w:r w:rsidR="00F96D76">
        <w:rPr>
          <w:rFonts w:hint="cs"/>
          <w:rtl/>
        </w:rPr>
        <w:t xml:space="preserve"> שבו המערער חנק את המנוחה ובעודה נאבקת בו. </w:t>
      </w:r>
    </w:p>
    <w:p w:rsidR="00F96D76" w:rsidRDefault="00F96D76" w:rsidP="009922E5">
      <w:pPr>
        <w:pStyle w:val="Ruller40"/>
        <w:rPr>
          <w:rtl/>
        </w:rPr>
      </w:pPr>
    </w:p>
    <w:p w:rsidR="00F96D76" w:rsidRDefault="0023761F" w:rsidP="003D174F">
      <w:pPr>
        <w:pStyle w:val="Ruller4"/>
        <w:rPr>
          <w:rtl/>
        </w:rPr>
      </w:pPr>
      <w:r>
        <w:rPr>
          <w:rFonts w:ascii="Century" w:hAnsi="Century" w:cs="Miriam" w:hint="cs"/>
          <w:b/>
          <w:spacing w:val="0"/>
          <w:sz w:val="22"/>
          <w:szCs w:val="24"/>
          <w:rtl/>
        </w:rPr>
        <w:t xml:space="preserve">התנהגות המערער </w:t>
      </w:r>
      <w:r w:rsidR="009F6228" w:rsidRPr="009F6228">
        <w:rPr>
          <w:rFonts w:ascii="Century" w:hAnsi="Century" w:cs="Miriam" w:hint="cs"/>
          <w:b/>
          <w:spacing w:val="0"/>
          <w:sz w:val="22"/>
          <w:szCs w:val="24"/>
          <w:rtl/>
        </w:rPr>
        <w:t>לאחר המתת המנוחה</w:t>
      </w:r>
      <w:r w:rsidR="009F6228" w:rsidRPr="009F6228">
        <w:rPr>
          <w:rFonts w:hint="cs"/>
          <w:rtl/>
        </w:rPr>
        <w:t xml:space="preserve"> </w:t>
      </w:r>
      <w:r w:rsidR="009F6228">
        <w:rPr>
          <w:rtl/>
        </w:rPr>
        <w:t>–</w:t>
      </w:r>
      <w:r w:rsidR="009F6228">
        <w:rPr>
          <w:rFonts w:hint="cs"/>
          <w:rtl/>
        </w:rPr>
        <w:t xml:space="preserve"> </w:t>
      </w:r>
      <w:r w:rsidR="003E61B5">
        <w:rPr>
          <w:rFonts w:hint="cs"/>
          <w:rtl/>
        </w:rPr>
        <w:t xml:space="preserve">אין </w:t>
      </w:r>
      <w:r w:rsidR="00F96D76" w:rsidRPr="003907D0">
        <w:rPr>
          <w:rFonts w:hint="cs"/>
          <w:rtl/>
        </w:rPr>
        <w:t xml:space="preserve">חולק </w:t>
      </w:r>
      <w:r w:rsidR="003E61B5">
        <w:rPr>
          <w:rFonts w:hint="cs"/>
          <w:rtl/>
        </w:rPr>
        <w:t xml:space="preserve">כי </w:t>
      </w:r>
      <w:r w:rsidR="00F96D76">
        <w:rPr>
          <w:rFonts w:hint="cs"/>
          <w:rtl/>
        </w:rPr>
        <w:t>המערער לא ס</w:t>
      </w:r>
      <w:r w:rsidR="00D6693A">
        <w:rPr>
          <w:rFonts w:hint="cs"/>
          <w:rtl/>
        </w:rPr>
        <w:t xml:space="preserve">ייע למנוחה לאחר </w:t>
      </w:r>
      <w:r w:rsidR="003D174F">
        <w:rPr>
          <w:rFonts w:hint="cs"/>
          <w:rtl/>
        </w:rPr>
        <w:t>שהבחין</w:t>
      </w:r>
      <w:r w:rsidR="00D6693A">
        <w:rPr>
          <w:rFonts w:hint="cs"/>
          <w:rtl/>
        </w:rPr>
        <w:t xml:space="preserve"> כי התמוטטה</w:t>
      </w:r>
      <w:r w:rsidR="00F96D76">
        <w:rPr>
          <w:rFonts w:hint="cs"/>
          <w:rtl/>
        </w:rPr>
        <w:t xml:space="preserve"> ואף לא התקשר למוקד חירום. </w:t>
      </w:r>
      <w:r w:rsidR="00C457E4">
        <w:rPr>
          <w:rFonts w:hint="cs"/>
          <w:rtl/>
        </w:rPr>
        <w:t xml:space="preserve">יתרה מזאת, </w:t>
      </w:r>
      <w:r w:rsidR="00A76107">
        <w:rPr>
          <w:rFonts w:hint="cs"/>
          <w:rtl/>
        </w:rPr>
        <w:t xml:space="preserve">המערער </w:t>
      </w:r>
      <w:r w:rsidR="00F96D76">
        <w:rPr>
          <w:rFonts w:hint="cs"/>
          <w:rtl/>
        </w:rPr>
        <w:t xml:space="preserve">דיווח על היעדרות המנוחה ביום שלאחר מכן, תוך שהוא מעמיד פנים כי אינו יודע </w:t>
      </w:r>
      <w:r>
        <w:rPr>
          <w:rFonts w:hint="cs"/>
          <w:rtl/>
        </w:rPr>
        <w:t>דבר על כך</w:t>
      </w:r>
      <w:r w:rsidR="00F96D76">
        <w:rPr>
          <w:rFonts w:hint="cs"/>
          <w:rtl/>
        </w:rPr>
        <w:t xml:space="preserve">. </w:t>
      </w:r>
      <w:r w:rsidR="006B6E3A">
        <w:rPr>
          <w:rFonts w:hint="cs"/>
          <w:rtl/>
        </w:rPr>
        <w:t>לבסוף,</w:t>
      </w:r>
      <w:r w:rsidR="00F96D76">
        <w:rPr>
          <w:rFonts w:hint="cs"/>
          <w:rtl/>
        </w:rPr>
        <w:t xml:space="preserve"> </w:t>
      </w:r>
      <w:r w:rsidR="0050285E">
        <w:rPr>
          <w:rFonts w:hint="cs"/>
          <w:rtl/>
        </w:rPr>
        <w:t>הודה בהמתת המנוחה רק לאחר שהוצג</w:t>
      </w:r>
      <w:r w:rsidR="00F96D76">
        <w:rPr>
          <w:rFonts w:hint="cs"/>
          <w:rtl/>
        </w:rPr>
        <w:t xml:space="preserve"> לו בחקירתו </w:t>
      </w:r>
      <w:r w:rsidR="006B6E3A">
        <w:rPr>
          <w:rFonts w:hint="cs"/>
          <w:rtl/>
        </w:rPr>
        <w:t xml:space="preserve">כי קיים סרטון ממצלמת השכנים שבו </w:t>
      </w:r>
      <w:r>
        <w:rPr>
          <w:rFonts w:hint="cs"/>
          <w:rtl/>
        </w:rPr>
        <w:t xml:space="preserve">הוא </w:t>
      </w:r>
      <w:r w:rsidR="003D174F">
        <w:rPr>
          <w:rFonts w:hint="cs"/>
          <w:rtl/>
        </w:rPr>
        <w:t>נצפה</w:t>
      </w:r>
      <w:r w:rsidR="006B6E3A">
        <w:rPr>
          <w:rFonts w:hint="cs"/>
          <w:rtl/>
        </w:rPr>
        <w:t xml:space="preserve"> מוציא את גופת המנוחה מהבית</w:t>
      </w:r>
      <w:r w:rsidR="0099278C">
        <w:rPr>
          <w:rFonts w:hint="cs"/>
          <w:rtl/>
        </w:rPr>
        <w:t>.</w:t>
      </w:r>
      <w:r w:rsidR="00FF6FEA">
        <w:rPr>
          <w:rFonts w:hint="cs"/>
          <w:rtl/>
        </w:rPr>
        <w:t xml:space="preserve"> </w:t>
      </w:r>
      <w:r w:rsidR="00F96D76">
        <w:rPr>
          <w:rFonts w:hint="cs"/>
          <w:rtl/>
        </w:rPr>
        <w:t xml:space="preserve">כמו כן, </w:t>
      </w:r>
      <w:r w:rsidR="005E588C">
        <w:rPr>
          <w:rFonts w:hint="cs"/>
          <w:rtl/>
        </w:rPr>
        <w:t xml:space="preserve">נקבע כי </w:t>
      </w:r>
      <w:r w:rsidR="006B6E3A">
        <w:rPr>
          <w:rFonts w:hint="cs"/>
          <w:rtl/>
        </w:rPr>
        <w:t xml:space="preserve">המערער </w:t>
      </w:r>
      <w:r w:rsidR="00F96D76">
        <w:rPr>
          <w:rFonts w:hint="cs"/>
          <w:rtl/>
        </w:rPr>
        <w:t xml:space="preserve">העלים את משקפי הראייה </w:t>
      </w:r>
      <w:r w:rsidR="00C457E4">
        <w:rPr>
          <w:rFonts w:hint="cs"/>
          <w:rtl/>
        </w:rPr>
        <w:t xml:space="preserve">של המנוחה, את </w:t>
      </w:r>
      <w:r w:rsidR="00FF6FEA">
        <w:rPr>
          <w:rFonts w:hint="cs"/>
          <w:rtl/>
        </w:rPr>
        <w:t>מכשיר הטלפון</w:t>
      </w:r>
      <w:r w:rsidR="00C457E4">
        <w:rPr>
          <w:rFonts w:hint="cs"/>
          <w:rtl/>
        </w:rPr>
        <w:t xml:space="preserve"> הנייד שלה</w:t>
      </w:r>
      <w:r w:rsidR="00F96D76">
        <w:rPr>
          <w:rFonts w:hint="cs"/>
          <w:rtl/>
        </w:rPr>
        <w:t xml:space="preserve"> </w:t>
      </w:r>
      <w:r w:rsidR="00C457E4">
        <w:rPr>
          <w:rFonts w:hint="cs"/>
          <w:rtl/>
        </w:rPr>
        <w:t>ו</w:t>
      </w:r>
      <w:r w:rsidR="00F96D76">
        <w:rPr>
          <w:rFonts w:hint="cs"/>
          <w:rtl/>
        </w:rPr>
        <w:t xml:space="preserve">שטף את הרכב שבו העביר את גופת המנוחה לחורשה. </w:t>
      </w:r>
      <w:r w:rsidR="009F6228">
        <w:rPr>
          <w:rFonts w:hint="cs"/>
          <w:rtl/>
        </w:rPr>
        <w:t>עוד הוצגה כרא</w:t>
      </w:r>
      <w:r w:rsidR="00C457E4">
        <w:rPr>
          <w:rFonts w:hint="cs"/>
          <w:rtl/>
        </w:rPr>
        <w:t>יה</w:t>
      </w:r>
      <w:r w:rsidR="006B6E3A">
        <w:rPr>
          <w:rFonts w:hint="cs"/>
          <w:rtl/>
        </w:rPr>
        <w:t xml:space="preserve"> שיחה מוקלטת בין המערער לאחותו</w:t>
      </w:r>
      <w:r w:rsidR="00C457E4">
        <w:rPr>
          <w:rFonts w:hint="cs"/>
          <w:rtl/>
        </w:rPr>
        <w:t>,</w:t>
      </w:r>
      <w:r w:rsidR="00F730BC">
        <w:rPr>
          <w:rFonts w:hint="cs"/>
          <w:rtl/>
        </w:rPr>
        <w:t xml:space="preserve"> </w:t>
      </w:r>
      <w:r w:rsidR="005E588C">
        <w:rPr>
          <w:rFonts w:hint="cs"/>
          <w:rtl/>
        </w:rPr>
        <w:t xml:space="preserve">שהתקיימה </w:t>
      </w:r>
      <w:r w:rsidR="00F730BC">
        <w:rPr>
          <w:rFonts w:hint="cs"/>
          <w:rtl/>
        </w:rPr>
        <w:t xml:space="preserve">לאחר </w:t>
      </w:r>
      <w:r w:rsidR="00C457E4">
        <w:rPr>
          <w:rFonts w:hint="cs"/>
          <w:rtl/>
        </w:rPr>
        <w:t>שדיווח למשטרה על ה</w:t>
      </w:r>
      <w:r>
        <w:rPr>
          <w:rFonts w:hint="cs"/>
          <w:rtl/>
        </w:rPr>
        <w:t>עדרה</w:t>
      </w:r>
      <w:r w:rsidR="00C457E4">
        <w:rPr>
          <w:rFonts w:hint="cs"/>
          <w:rtl/>
        </w:rPr>
        <w:t xml:space="preserve"> </w:t>
      </w:r>
      <w:r>
        <w:rPr>
          <w:rFonts w:hint="cs"/>
          <w:rtl/>
        </w:rPr>
        <w:t xml:space="preserve">של </w:t>
      </w:r>
      <w:r w:rsidR="00C457E4">
        <w:rPr>
          <w:rFonts w:hint="cs"/>
          <w:rtl/>
        </w:rPr>
        <w:t xml:space="preserve">המנוחה </w:t>
      </w:r>
      <w:r>
        <w:rPr>
          <w:rFonts w:hint="cs"/>
          <w:rtl/>
        </w:rPr>
        <w:t>בטרם</w:t>
      </w:r>
      <w:r w:rsidR="00F730BC">
        <w:rPr>
          <w:rFonts w:hint="cs"/>
          <w:rtl/>
        </w:rPr>
        <w:t xml:space="preserve"> מציאת גופתה</w:t>
      </w:r>
      <w:r w:rsidR="007C1CAC">
        <w:rPr>
          <w:rFonts w:hint="cs"/>
          <w:rtl/>
        </w:rPr>
        <w:t xml:space="preserve"> (להלן: </w:t>
      </w:r>
      <w:r w:rsidR="007C1CAC" w:rsidRPr="007C1CAC">
        <w:rPr>
          <w:rFonts w:ascii="Century" w:hAnsi="Century" w:cs="Miriam" w:hint="cs"/>
          <w:b/>
          <w:spacing w:val="0"/>
          <w:sz w:val="22"/>
          <w:szCs w:val="24"/>
          <w:rtl/>
        </w:rPr>
        <w:t>השיחה המוקלטת</w:t>
      </w:r>
      <w:r w:rsidR="007C1CAC">
        <w:rPr>
          <w:rFonts w:hint="cs"/>
          <w:rtl/>
        </w:rPr>
        <w:t>)</w:t>
      </w:r>
      <w:r w:rsidR="00F730BC">
        <w:rPr>
          <w:rFonts w:hint="cs"/>
          <w:rtl/>
        </w:rPr>
        <w:t>. מיד בתחילת השיחה, המערער הזהיר את אחותו "</w:t>
      </w:r>
      <w:r w:rsidR="00F730BC" w:rsidRPr="005E4DC1">
        <w:rPr>
          <w:rFonts w:ascii="Century" w:hAnsi="Century" w:cs="Miriam" w:hint="cs"/>
          <w:b/>
          <w:spacing w:val="0"/>
          <w:sz w:val="22"/>
          <w:szCs w:val="24"/>
          <w:rtl/>
        </w:rPr>
        <w:t xml:space="preserve">[...] בלי שתעשי כלום, </w:t>
      </w:r>
      <w:proofErr w:type="spellStart"/>
      <w:r w:rsidR="00F730BC" w:rsidRPr="005E4DC1">
        <w:rPr>
          <w:rFonts w:ascii="Century" w:hAnsi="Century" w:cs="Miriam" w:hint="cs"/>
          <w:b/>
          <w:spacing w:val="0"/>
          <w:sz w:val="22"/>
          <w:szCs w:val="24"/>
          <w:rtl/>
        </w:rPr>
        <w:t>הכל</w:t>
      </w:r>
      <w:proofErr w:type="spellEnd"/>
      <w:r w:rsidR="00F730BC" w:rsidRPr="005E4DC1">
        <w:rPr>
          <w:rFonts w:ascii="Century" w:hAnsi="Century" w:cs="Miriam" w:hint="cs"/>
          <w:b/>
          <w:spacing w:val="0"/>
          <w:sz w:val="22"/>
          <w:szCs w:val="24"/>
          <w:rtl/>
        </w:rPr>
        <w:t xml:space="preserve"> מוקלט</w:t>
      </w:r>
      <w:r w:rsidR="005E588C">
        <w:rPr>
          <w:rFonts w:hint="cs"/>
          <w:rtl/>
        </w:rPr>
        <w:t>". בהמשך אמר</w:t>
      </w:r>
      <w:r w:rsidR="00F730BC">
        <w:rPr>
          <w:rFonts w:hint="cs"/>
          <w:rtl/>
        </w:rPr>
        <w:t xml:space="preserve"> כי הוא "</w:t>
      </w:r>
      <w:r w:rsidR="00F730BC" w:rsidRPr="007C2DCD">
        <w:rPr>
          <w:rFonts w:ascii="Century" w:hAnsi="Century" w:cs="Miriam" w:hint="cs"/>
          <w:b/>
          <w:spacing w:val="0"/>
          <w:sz w:val="22"/>
          <w:szCs w:val="24"/>
          <w:rtl/>
        </w:rPr>
        <w:t>מסובך</w:t>
      </w:r>
      <w:r w:rsidR="00F730BC">
        <w:rPr>
          <w:rFonts w:hint="cs"/>
          <w:rtl/>
        </w:rPr>
        <w:t>". קיום השיחה וההקלטה אושרו בעדות האחות.</w:t>
      </w:r>
    </w:p>
    <w:p w:rsidR="00F730BC" w:rsidRDefault="00F730BC" w:rsidP="00F730BC">
      <w:pPr>
        <w:pStyle w:val="Ruller40"/>
        <w:rPr>
          <w:rtl/>
        </w:rPr>
      </w:pPr>
    </w:p>
    <w:p w:rsidR="00CA7A36" w:rsidRDefault="00F730BC" w:rsidP="00A76107">
      <w:pPr>
        <w:pStyle w:val="Ruller4"/>
        <w:rPr>
          <w:rtl/>
        </w:rPr>
      </w:pPr>
      <w:r>
        <w:rPr>
          <w:rFonts w:hint="cs"/>
          <w:rtl/>
        </w:rPr>
        <w:t xml:space="preserve">על בסיס מארג ראייתי זה, </w:t>
      </w:r>
      <w:r w:rsidR="00A76107">
        <w:rPr>
          <w:rFonts w:hint="cs"/>
          <w:rtl/>
        </w:rPr>
        <w:t xml:space="preserve">בית המשפט המחוזי קבע כי </w:t>
      </w:r>
      <w:r>
        <w:rPr>
          <w:rFonts w:hint="cs"/>
          <w:rtl/>
        </w:rPr>
        <w:t xml:space="preserve">הוכח </w:t>
      </w:r>
      <w:r w:rsidR="00A76107">
        <w:rPr>
          <w:rFonts w:hint="cs"/>
          <w:rtl/>
        </w:rPr>
        <w:t>ש</w:t>
      </w:r>
      <w:r>
        <w:rPr>
          <w:rFonts w:hint="cs"/>
          <w:rtl/>
        </w:rPr>
        <w:t>המערער</w:t>
      </w:r>
      <w:r w:rsidR="003D174F">
        <w:rPr>
          <w:rFonts w:hint="cs"/>
          <w:rtl/>
        </w:rPr>
        <w:t xml:space="preserve"> פעל </w:t>
      </w:r>
      <w:r w:rsidR="003D174F" w:rsidRPr="00A06F36">
        <w:rPr>
          <w:rFonts w:hint="cs"/>
          <w:rtl/>
        </w:rPr>
        <w:t>במודע, תכנון וכוונה</w:t>
      </w:r>
      <w:r>
        <w:rPr>
          <w:rFonts w:hint="cs"/>
          <w:rtl/>
        </w:rPr>
        <w:t xml:space="preserve"> </w:t>
      </w:r>
      <w:r w:rsidR="003D174F">
        <w:rPr>
          <w:rFonts w:hint="cs"/>
          <w:rtl/>
        </w:rPr>
        <w:t xml:space="preserve">להמית את המנוחה. </w:t>
      </w:r>
      <w:r w:rsidR="001D1E03">
        <w:rPr>
          <w:rFonts w:hint="cs"/>
          <w:rtl/>
        </w:rPr>
        <w:t xml:space="preserve">משכך, התקיימו </w:t>
      </w:r>
      <w:r w:rsidR="00CA7A36">
        <w:rPr>
          <w:rFonts w:hint="cs"/>
          <w:rtl/>
        </w:rPr>
        <w:t>יסודות עבירת הרצח</w:t>
      </w:r>
      <w:r w:rsidR="001D1E03">
        <w:rPr>
          <w:rFonts w:hint="cs"/>
          <w:rtl/>
        </w:rPr>
        <w:t xml:space="preserve"> בכוונה תחילה</w:t>
      </w:r>
      <w:r w:rsidR="00CA7A36">
        <w:rPr>
          <w:rFonts w:hint="cs"/>
          <w:rtl/>
        </w:rPr>
        <w:t xml:space="preserve"> </w:t>
      </w:r>
      <w:r w:rsidR="001D1E03">
        <w:rPr>
          <w:rFonts w:hint="cs"/>
          <w:rtl/>
        </w:rPr>
        <w:t>בעניינו, כנדרש על פי הדין בטרם הרפורמה בעבירות ההמתה</w:t>
      </w:r>
      <w:r w:rsidR="00CA7A36">
        <w:rPr>
          <w:rFonts w:hint="cs"/>
          <w:rtl/>
        </w:rPr>
        <w:t xml:space="preserve">. </w:t>
      </w:r>
    </w:p>
    <w:p w:rsidR="003907D0" w:rsidRPr="003907D0" w:rsidRDefault="003907D0" w:rsidP="003907D0">
      <w:pPr>
        <w:pStyle w:val="Ruller40"/>
        <w:rPr>
          <w:rtl/>
        </w:rPr>
      </w:pPr>
    </w:p>
    <w:p w:rsidR="005C6189" w:rsidRDefault="00744135" w:rsidP="003D174F">
      <w:pPr>
        <w:pStyle w:val="Ruller4"/>
      </w:pPr>
      <w:r>
        <w:rPr>
          <w:rFonts w:hint="cs"/>
          <w:rtl/>
        </w:rPr>
        <w:t xml:space="preserve">בית המשפט המחוזי פנה לבחון את </w:t>
      </w:r>
      <w:r w:rsidR="00813A06">
        <w:rPr>
          <w:rFonts w:hint="cs"/>
          <w:rtl/>
        </w:rPr>
        <w:t>השפעת</w:t>
      </w:r>
      <w:r w:rsidR="00513AE8">
        <w:rPr>
          <w:rFonts w:ascii="FrankRuehl" w:hAnsi="FrankRuehl"/>
          <w:color w:val="000000"/>
          <w:sz w:val="28"/>
          <w:rtl/>
        </w:rPr>
        <w:t xml:space="preserve"> תיקון 137 לחוק</w:t>
      </w:r>
      <w:r w:rsidR="00513AE8">
        <w:rPr>
          <w:rFonts w:ascii="FrankRuehl" w:hAnsi="FrankRuehl"/>
          <w:color w:val="000000"/>
          <w:sz w:val="28"/>
        </w:rPr>
        <w:t xml:space="preserve">) </w:t>
      </w:r>
      <w:r w:rsidR="00513AE8" w:rsidRPr="00513AE8">
        <w:rPr>
          <w:rtl/>
        </w:rPr>
        <w:t>חוק העונשין</w:t>
      </w:r>
      <w:r w:rsidR="00513AE8" w:rsidRPr="00513AE8">
        <w:t> </w:t>
      </w:r>
      <w:r w:rsidR="00513AE8" w:rsidRPr="00513AE8">
        <w:rPr>
          <w:rtl/>
        </w:rPr>
        <w:t>(</w:t>
      </w:r>
      <w:r w:rsidR="00513AE8">
        <w:rPr>
          <w:rFonts w:ascii="FrankRuehl" w:hAnsi="FrankRuehl"/>
          <w:color w:val="000000"/>
          <w:sz w:val="28"/>
          <w:rtl/>
        </w:rPr>
        <w:t>תיקון מס' 137), התשע"ט-2019, ס"ח 230)</w:t>
      </w:r>
      <w:r w:rsidR="00513AE8">
        <w:rPr>
          <w:rFonts w:ascii="FrankRuehl" w:hAnsi="FrankRuehl" w:hint="cs"/>
          <w:color w:val="000000"/>
          <w:sz w:val="28"/>
          <w:rtl/>
        </w:rPr>
        <w:t xml:space="preserve"> </w:t>
      </w:r>
      <w:r w:rsidR="00513AE8">
        <w:rPr>
          <w:rFonts w:ascii="FrankRuehl" w:hAnsi="FrankRuehl"/>
          <w:color w:val="000000"/>
          <w:sz w:val="28"/>
          <w:rtl/>
        </w:rPr>
        <w:t>(לעיל ולהלן</w:t>
      </w:r>
      <w:r w:rsidR="00513AE8">
        <w:rPr>
          <w:rFonts w:ascii="FrankRuehl" w:hAnsi="FrankRuehl"/>
          <w:color w:val="000000"/>
          <w:sz w:val="28"/>
        </w:rPr>
        <w:t>:</w:t>
      </w:r>
      <w:r w:rsidR="00513AE8">
        <w:rPr>
          <w:rFonts w:ascii="Miriam" w:hAnsi="Miriam" w:cs="Miriam" w:hint="cs"/>
          <w:color w:val="000000"/>
          <w:rtl/>
        </w:rPr>
        <w:t xml:space="preserve"> </w:t>
      </w:r>
      <w:r w:rsidR="00513AE8" w:rsidRPr="00513AE8">
        <w:rPr>
          <w:rFonts w:ascii="Century" w:hAnsi="Century" w:cs="Miriam"/>
          <w:b/>
          <w:spacing w:val="0"/>
          <w:sz w:val="22"/>
          <w:szCs w:val="24"/>
          <w:rtl/>
        </w:rPr>
        <w:t>תיקון 137</w:t>
      </w:r>
      <w:r w:rsidR="00513AE8" w:rsidRPr="00513AE8">
        <w:rPr>
          <w:rFonts w:ascii="Miriam" w:hAnsi="Miriam" w:cs="Miriam"/>
          <w:color w:val="000000"/>
          <w:rtl/>
        </w:rPr>
        <w:t> </w:t>
      </w:r>
      <w:r w:rsidR="00513AE8">
        <w:rPr>
          <w:rFonts w:ascii="FrankRuehl" w:hAnsi="FrankRuehl"/>
          <w:color w:val="000000"/>
          <w:sz w:val="28"/>
          <w:rtl/>
        </w:rPr>
        <w:t>או </w:t>
      </w:r>
      <w:r w:rsidR="00513AE8" w:rsidRPr="00513AE8">
        <w:rPr>
          <w:rFonts w:ascii="Century" w:hAnsi="Century" w:cs="Miriam"/>
          <w:b/>
          <w:spacing w:val="0"/>
          <w:sz w:val="22"/>
          <w:szCs w:val="24"/>
          <w:rtl/>
        </w:rPr>
        <w:t>הרפורמה בעבירות ההמתה</w:t>
      </w:r>
      <w:r w:rsidR="00513AE8">
        <w:rPr>
          <w:rFonts w:ascii="FrankRuehl" w:hAnsi="FrankRuehl" w:hint="cs"/>
          <w:color w:val="000000"/>
          <w:sz w:val="28"/>
          <w:rtl/>
        </w:rPr>
        <w:t>)</w:t>
      </w:r>
      <w:r w:rsidR="009F6228">
        <w:rPr>
          <w:rFonts w:ascii="FrankRuehl" w:hAnsi="FrankRuehl" w:hint="cs"/>
          <w:color w:val="000000"/>
          <w:sz w:val="28"/>
          <w:rtl/>
        </w:rPr>
        <w:t>)</w:t>
      </w:r>
      <w:r w:rsidR="00513AE8">
        <w:rPr>
          <w:rFonts w:ascii="FrankRuehl" w:hAnsi="FrankRuehl" w:hint="cs"/>
          <w:color w:val="000000"/>
          <w:sz w:val="28"/>
          <w:rtl/>
        </w:rPr>
        <w:t xml:space="preserve"> </w:t>
      </w:r>
      <w:r w:rsidR="00CA7A36">
        <w:rPr>
          <w:rFonts w:hint="cs"/>
          <w:rtl/>
        </w:rPr>
        <w:t xml:space="preserve">על עניינו של המערער </w:t>
      </w:r>
      <w:r w:rsidR="00CA7A36">
        <w:rPr>
          <w:rtl/>
        </w:rPr>
        <w:t>–</w:t>
      </w:r>
      <w:r>
        <w:rPr>
          <w:rFonts w:hint="cs"/>
          <w:rtl/>
        </w:rPr>
        <w:t xml:space="preserve"> ו</w:t>
      </w:r>
      <w:r w:rsidR="00CA7A36">
        <w:rPr>
          <w:rFonts w:hint="cs"/>
          <w:rtl/>
        </w:rPr>
        <w:t>האם ה</w:t>
      </w:r>
      <w:r w:rsidR="00490CFA">
        <w:rPr>
          <w:rFonts w:hint="cs"/>
          <w:rtl/>
        </w:rPr>
        <w:t xml:space="preserve">רפורמה מהווה דין מקל </w:t>
      </w:r>
      <w:r w:rsidR="00513AE8">
        <w:rPr>
          <w:rFonts w:hint="cs"/>
          <w:rtl/>
        </w:rPr>
        <w:t>עמו</w:t>
      </w:r>
      <w:r w:rsidR="005E588C">
        <w:rPr>
          <w:rFonts w:hint="cs"/>
          <w:rtl/>
        </w:rPr>
        <w:t xml:space="preserve">. נקבע, </w:t>
      </w:r>
      <w:r w:rsidR="00CA7A36">
        <w:rPr>
          <w:rFonts w:hint="cs"/>
          <w:rtl/>
        </w:rPr>
        <w:t xml:space="preserve">כי יישום הרפורמה מוליך </w:t>
      </w:r>
      <w:r w:rsidR="005E588C">
        <w:rPr>
          <w:rFonts w:hint="cs"/>
          <w:rtl/>
        </w:rPr>
        <w:t>למסקנה</w:t>
      </w:r>
      <w:r w:rsidR="00CA7A36">
        <w:rPr>
          <w:rFonts w:hint="cs"/>
          <w:rtl/>
        </w:rPr>
        <w:t xml:space="preserve"> שיש להרשיע את המערער בעבירה של רצח בנסיבות מחמירות, הן לפי סעיף </w:t>
      </w:r>
      <w:r w:rsidR="00813A06">
        <w:rPr>
          <w:rFonts w:hint="cs"/>
          <w:rtl/>
        </w:rPr>
        <w:t xml:space="preserve">301א(א)(1) </w:t>
      </w:r>
      <w:r w:rsidR="00813A06" w:rsidRPr="00813A06">
        <w:rPr>
          <w:rFonts w:hint="cs"/>
          <w:rtl/>
        </w:rPr>
        <w:t>לחוק</w:t>
      </w:r>
      <w:r w:rsidR="000C5875">
        <w:rPr>
          <w:rFonts w:hint="cs"/>
          <w:rtl/>
        </w:rPr>
        <w:t>,</w:t>
      </w:r>
      <w:r w:rsidR="00813A06" w:rsidRPr="00813A06">
        <w:rPr>
          <w:rFonts w:hint="cs"/>
          <w:rtl/>
        </w:rPr>
        <w:t xml:space="preserve"> שלפיו </w:t>
      </w:r>
      <w:r w:rsidR="00813A06" w:rsidRPr="00813A06">
        <w:rPr>
          <w:rtl/>
        </w:rPr>
        <w:t xml:space="preserve">המעשה </w:t>
      </w:r>
      <w:r w:rsidR="00813A06" w:rsidRPr="00157CA6">
        <w:rPr>
          <w:rFonts w:ascii="Century" w:hAnsi="Century" w:cs="Miriam"/>
          <w:b/>
          <w:spacing w:val="0"/>
          <w:sz w:val="22"/>
          <w:szCs w:val="24"/>
          <w:rtl/>
        </w:rPr>
        <w:t>נעשה לאחר תכנון או לאחר הליך ממשי של שקילה וגיבוש החלטה להמית</w:t>
      </w:r>
      <w:r w:rsidR="00CA7A36" w:rsidRPr="00813A06">
        <w:rPr>
          <w:rFonts w:hint="cs"/>
          <w:rtl/>
        </w:rPr>
        <w:t>;</w:t>
      </w:r>
      <w:r w:rsidR="00CA7A36">
        <w:rPr>
          <w:rFonts w:hint="cs"/>
          <w:rtl/>
        </w:rPr>
        <w:t xml:space="preserve"> הן לפי סעיף </w:t>
      </w:r>
      <w:r w:rsidR="00813A06">
        <w:rPr>
          <w:rFonts w:hint="cs"/>
          <w:rtl/>
        </w:rPr>
        <w:t xml:space="preserve">301א(א)(5) לחוק </w:t>
      </w:r>
      <w:r w:rsidR="00813A06">
        <w:rPr>
          <w:rtl/>
        </w:rPr>
        <w:t>–</w:t>
      </w:r>
      <w:r w:rsidR="00813A06">
        <w:rPr>
          <w:rFonts w:hint="cs"/>
          <w:rtl/>
        </w:rPr>
        <w:t xml:space="preserve"> </w:t>
      </w:r>
      <w:r w:rsidR="00813A06" w:rsidRPr="00813A06">
        <w:rPr>
          <w:rFonts w:hint="cs"/>
          <w:rtl/>
        </w:rPr>
        <w:t xml:space="preserve">כי </w:t>
      </w:r>
      <w:r w:rsidR="00813A06" w:rsidRPr="00813A06">
        <w:rPr>
          <w:rtl/>
        </w:rPr>
        <w:t xml:space="preserve">המעשה נעשה </w:t>
      </w:r>
      <w:r w:rsidR="00813A06" w:rsidRPr="00157CA6">
        <w:rPr>
          <w:rFonts w:ascii="Century" w:hAnsi="Century" w:cs="Miriam"/>
          <w:b/>
          <w:spacing w:val="0"/>
          <w:sz w:val="22"/>
          <w:szCs w:val="24"/>
          <w:rtl/>
        </w:rPr>
        <w:t xml:space="preserve">כפעולה </w:t>
      </w:r>
      <w:proofErr w:type="spellStart"/>
      <w:r w:rsidR="00813A06" w:rsidRPr="00157CA6">
        <w:rPr>
          <w:rFonts w:ascii="Century" w:hAnsi="Century" w:cs="Miriam"/>
          <w:b/>
          <w:spacing w:val="0"/>
          <w:sz w:val="22"/>
          <w:szCs w:val="24"/>
          <w:rtl/>
        </w:rPr>
        <w:t>עונשית</w:t>
      </w:r>
      <w:proofErr w:type="spellEnd"/>
      <w:r w:rsidR="00813A06" w:rsidRPr="00157CA6">
        <w:rPr>
          <w:rFonts w:ascii="Century" w:hAnsi="Century" w:cs="Miriam"/>
          <w:b/>
          <w:spacing w:val="0"/>
          <w:sz w:val="22"/>
          <w:szCs w:val="24"/>
          <w:rtl/>
        </w:rPr>
        <w:t xml:space="preserve"> במטרה להטיל מרות או מורא ולכפות אורחות </w:t>
      </w:r>
      <w:r w:rsidR="00813A06" w:rsidRPr="00157CA6">
        <w:rPr>
          <w:rFonts w:ascii="Century" w:hAnsi="Century" w:cs="Miriam"/>
          <w:b/>
          <w:spacing w:val="0"/>
          <w:sz w:val="22"/>
          <w:szCs w:val="24"/>
          <w:rtl/>
        </w:rPr>
        <w:lastRenderedPageBreak/>
        <w:t>התנהגות על ציבור</w:t>
      </w:r>
      <w:r w:rsidR="00CA7A36">
        <w:rPr>
          <w:rFonts w:hint="cs"/>
          <w:rtl/>
        </w:rPr>
        <w:t xml:space="preserve">; הן לפי סעיף </w:t>
      </w:r>
      <w:r w:rsidR="00813A06">
        <w:rPr>
          <w:rFonts w:hint="cs"/>
          <w:rtl/>
        </w:rPr>
        <w:t xml:space="preserve">301א(א)(7) לחוק </w:t>
      </w:r>
      <w:r w:rsidR="00813A06">
        <w:rPr>
          <w:rtl/>
        </w:rPr>
        <w:t>–</w:t>
      </w:r>
      <w:r w:rsidR="00813A06">
        <w:rPr>
          <w:rFonts w:hint="cs"/>
          <w:rtl/>
        </w:rPr>
        <w:t xml:space="preserve"> </w:t>
      </w:r>
      <w:r w:rsidR="00813A06" w:rsidRPr="00157CA6">
        <w:rPr>
          <w:rFonts w:ascii="Century" w:hAnsi="Century" w:cs="Miriam"/>
          <w:b/>
          <w:spacing w:val="0"/>
          <w:sz w:val="22"/>
          <w:szCs w:val="24"/>
          <w:rtl/>
        </w:rPr>
        <w:t>המעשה נעשה באכזריות מיוחדת, או תוך התעללות גופנית או נפשית בקורבן</w:t>
      </w:r>
      <w:r w:rsidR="00CA7A36">
        <w:rPr>
          <w:rFonts w:hint="cs"/>
          <w:rtl/>
        </w:rPr>
        <w:t xml:space="preserve">. </w:t>
      </w:r>
    </w:p>
    <w:p w:rsidR="005C6189" w:rsidRDefault="005C6189" w:rsidP="005C6189">
      <w:pPr>
        <w:pStyle w:val="Ruller4"/>
        <w:numPr>
          <w:ilvl w:val="0"/>
          <w:numId w:val="0"/>
        </w:numPr>
        <w:rPr>
          <w:rtl/>
        </w:rPr>
      </w:pPr>
    </w:p>
    <w:p w:rsidR="00CA7A36" w:rsidRDefault="005C6189" w:rsidP="00441E0D">
      <w:pPr>
        <w:pStyle w:val="Ruller4"/>
        <w:numPr>
          <w:ilvl w:val="0"/>
          <w:numId w:val="0"/>
        </w:numPr>
        <w:rPr>
          <w:rtl/>
        </w:rPr>
      </w:pPr>
      <w:r>
        <w:rPr>
          <w:rtl/>
        </w:rPr>
        <w:tab/>
      </w:r>
      <w:r w:rsidR="00CA7A36">
        <w:rPr>
          <w:rFonts w:hint="cs"/>
          <w:rtl/>
        </w:rPr>
        <w:t xml:space="preserve">בנוסף, </w:t>
      </w:r>
      <w:r w:rsidR="00813A06">
        <w:rPr>
          <w:rFonts w:hint="cs"/>
          <w:rtl/>
        </w:rPr>
        <w:t>נקבע כי</w:t>
      </w:r>
      <w:r w:rsidR="00CA7A36">
        <w:rPr>
          <w:rFonts w:hint="cs"/>
          <w:rtl/>
        </w:rPr>
        <w:t xml:space="preserve"> אין מקום להחיל את הוראות סעיף </w:t>
      </w:r>
      <w:r w:rsidR="0061153F">
        <w:rPr>
          <w:rFonts w:hint="cs"/>
          <w:rtl/>
        </w:rPr>
        <w:t>301א(ב) לחוק</w:t>
      </w:r>
      <w:r w:rsidR="00C35038">
        <w:rPr>
          <w:rFonts w:hint="cs"/>
          <w:rtl/>
        </w:rPr>
        <w:t xml:space="preserve">, שלפיו אם </w:t>
      </w:r>
      <w:r w:rsidR="00C35038" w:rsidRPr="00C35038">
        <w:rPr>
          <w:rtl/>
        </w:rPr>
        <w:t xml:space="preserve">התקיימה נסיבה מחמירה </w:t>
      </w:r>
      <w:r w:rsidR="00C35038" w:rsidRPr="00C35038">
        <w:rPr>
          <w:rFonts w:hint="cs"/>
          <w:rtl/>
        </w:rPr>
        <w:t>כקבוע בעבירת הרצח בנסיבות מחמירות</w:t>
      </w:r>
      <w:r w:rsidR="00C35038" w:rsidRPr="00C35038">
        <w:rPr>
          <w:rtl/>
        </w:rPr>
        <w:t xml:space="preserve">, אך מתקיימות נסיבות מיוחדות שבשלהן המעשה אינו מבטא דרגת אשמה חמורה במיוחד, רשאי </w:t>
      </w:r>
      <w:r w:rsidR="00C35038" w:rsidRPr="00C35038">
        <w:rPr>
          <w:rFonts w:hint="cs"/>
          <w:rtl/>
        </w:rPr>
        <w:t>בית המשפט</w:t>
      </w:r>
      <w:r w:rsidR="00C35038" w:rsidRPr="00C35038">
        <w:rPr>
          <w:rtl/>
        </w:rPr>
        <w:t xml:space="preserve"> להרשיע את הנאשם </w:t>
      </w:r>
      <w:r w:rsidR="00C35038" w:rsidRPr="00C35038">
        <w:rPr>
          <w:rFonts w:hint="cs"/>
          <w:rtl/>
        </w:rPr>
        <w:t>בעבירת הרצח הבסיסית</w:t>
      </w:r>
      <w:r w:rsidR="00744135">
        <w:rPr>
          <w:rFonts w:hint="cs"/>
          <w:rtl/>
        </w:rPr>
        <w:t xml:space="preserve">; </w:t>
      </w:r>
      <w:r w:rsidR="00FE5B16">
        <w:rPr>
          <w:rFonts w:hint="cs"/>
          <w:rtl/>
        </w:rPr>
        <w:t>ואף כי המקרה אינו נכנס לגדרי עבירת המתה בנסיבות של אחריות מופחתת (סעיף 301ב לחוק)</w:t>
      </w:r>
      <w:r w:rsidR="00CA7A36">
        <w:rPr>
          <w:rFonts w:hint="cs"/>
          <w:rtl/>
        </w:rPr>
        <w:t xml:space="preserve">. </w:t>
      </w:r>
      <w:r w:rsidR="0020653F">
        <w:rPr>
          <w:rFonts w:hint="cs"/>
          <w:rtl/>
        </w:rPr>
        <w:t>נקבע כי עניינו של המערער אינו בא בגדר דין מקל על פי הרפורמה בעבירות ההמתה ואין ליישמה בנסיבות דנן.</w:t>
      </w:r>
      <w:r w:rsidR="00CA7A36">
        <w:rPr>
          <w:rFonts w:hint="cs"/>
          <w:rtl/>
        </w:rPr>
        <w:t xml:space="preserve"> </w:t>
      </w:r>
    </w:p>
    <w:p w:rsidR="00CA7A36" w:rsidRDefault="00CA7A36" w:rsidP="00CA7A36">
      <w:pPr>
        <w:pStyle w:val="Ruller40"/>
        <w:rPr>
          <w:rtl/>
        </w:rPr>
      </w:pPr>
    </w:p>
    <w:p w:rsidR="00CA7A36" w:rsidRDefault="00CA7A36" w:rsidP="00A5129A">
      <w:pPr>
        <w:pStyle w:val="Ruller4"/>
        <w:rPr>
          <w:rtl/>
        </w:rPr>
      </w:pPr>
      <w:r>
        <w:rPr>
          <w:rFonts w:hint="cs"/>
          <w:rtl/>
        </w:rPr>
        <w:t xml:space="preserve">אשר </w:t>
      </w:r>
      <w:r w:rsidR="0050285E">
        <w:rPr>
          <w:rFonts w:hint="cs"/>
          <w:rtl/>
        </w:rPr>
        <w:t>לעבירה הנוספת שיוחסה</w:t>
      </w:r>
      <w:r>
        <w:rPr>
          <w:rFonts w:hint="cs"/>
          <w:rtl/>
        </w:rPr>
        <w:t xml:space="preserve"> למערער</w:t>
      </w:r>
      <w:r w:rsidR="009176ED">
        <w:rPr>
          <w:rFonts w:hint="cs"/>
          <w:rtl/>
        </w:rPr>
        <w:t xml:space="preserve"> </w:t>
      </w:r>
      <w:r w:rsidR="0020653F">
        <w:rPr>
          <w:rFonts w:hint="cs"/>
          <w:rtl/>
        </w:rPr>
        <w:t xml:space="preserve">לפי סעיף </w:t>
      </w:r>
      <w:r w:rsidR="009176ED">
        <w:rPr>
          <w:rFonts w:hint="cs"/>
          <w:rtl/>
        </w:rPr>
        <w:t>244</w:t>
      </w:r>
      <w:r w:rsidR="0020653F">
        <w:rPr>
          <w:rFonts w:hint="cs"/>
          <w:rtl/>
        </w:rPr>
        <w:t xml:space="preserve"> לחוק, </w:t>
      </w:r>
      <w:r w:rsidR="00FE5B16">
        <w:rPr>
          <w:rFonts w:hint="cs"/>
          <w:rtl/>
        </w:rPr>
        <w:t>שיבוש מהלכי משפט</w:t>
      </w:r>
      <w:r>
        <w:rPr>
          <w:rFonts w:hint="cs"/>
          <w:rtl/>
        </w:rPr>
        <w:t xml:space="preserve">, נקבע כי </w:t>
      </w:r>
      <w:r w:rsidR="00FE5B16">
        <w:rPr>
          <w:rFonts w:hint="cs"/>
          <w:rtl/>
        </w:rPr>
        <w:t xml:space="preserve">גרסת המערער </w:t>
      </w:r>
      <w:r w:rsidR="008878AE">
        <w:rPr>
          <w:rFonts w:hint="cs"/>
          <w:rtl/>
        </w:rPr>
        <w:t xml:space="preserve">מבססת </w:t>
      </w:r>
      <w:r w:rsidR="000C5875">
        <w:rPr>
          <w:rFonts w:hint="cs"/>
          <w:rtl/>
        </w:rPr>
        <w:t xml:space="preserve">היטב </w:t>
      </w:r>
      <w:r w:rsidR="008878AE">
        <w:rPr>
          <w:rFonts w:hint="cs"/>
          <w:rtl/>
        </w:rPr>
        <w:t>את הרשעתו בעביר</w:t>
      </w:r>
      <w:r w:rsidR="00EF02A5">
        <w:rPr>
          <w:rFonts w:hint="cs"/>
          <w:rtl/>
        </w:rPr>
        <w:t>ה</w:t>
      </w:r>
      <w:r w:rsidR="008878AE">
        <w:rPr>
          <w:rFonts w:hint="cs"/>
          <w:rtl/>
        </w:rPr>
        <w:t xml:space="preserve"> </w:t>
      </w:r>
      <w:r w:rsidR="00EF02A5">
        <w:rPr>
          <w:rFonts w:hint="cs"/>
          <w:rtl/>
        </w:rPr>
        <w:t>זו</w:t>
      </w:r>
      <w:r w:rsidR="008878AE">
        <w:rPr>
          <w:rFonts w:hint="cs"/>
          <w:rtl/>
        </w:rPr>
        <w:t xml:space="preserve">, </w:t>
      </w:r>
      <w:r w:rsidR="000C5875">
        <w:rPr>
          <w:rFonts w:hint="cs"/>
          <w:rtl/>
        </w:rPr>
        <w:t xml:space="preserve">וכי </w:t>
      </w:r>
      <w:r w:rsidR="008878AE">
        <w:rPr>
          <w:rFonts w:hint="cs"/>
          <w:rtl/>
        </w:rPr>
        <w:t>מסכת הפעולות שהמערער ביצע לאחר המתת המנוחה מלמד</w:t>
      </w:r>
      <w:r w:rsidR="005C6189">
        <w:rPr>
          <w:rFonts w:hint="cs"/>
          <w:rtl/>
        </w:rPr>
        <w:t>ות גם על כוונתו להמית את המנוחה</w:t>
      </w:r>
      <w:r w:rsidR="008878AE">
        <w:rPr>
          <w:rFonts w:hint="cs"/>
          <w:rtl/>
        </w:rPr>
        <w:t xml:space="preserve"> ואינן מתיישבות עם גרסתו בדבר "קנטור". </w:t>
      </w:r>
      <w:r w:rsidR="00CF542F">
        <w:rPr>
          <w:rFonts w:hint="cs"/>
          <w:rtl/>
        </w:rPr>
        <w:t>יוצא אפוא</w:t>
      </w:r>
      <w:r w:rsidR="008878AE">
        <w:rPr>
          <w:rFonts w:hint="cs"/>
          <w:rtl/>
        </w:rPr>
        <w:t xml:space="preserve">, </w:t>
      </w:r>
      <w:r w:rsidR="00CF542F">
        <w:rPr>
          <w:rFonts w:hint="cs"/>
          <w:rtl/>
        </w:rPr>
        <w:t xml:space="preserve">כי </w:t>
      </w:r>
      <w:r w:rsidR="008878AE">
        <w:rPr>
          <w:rFonts w:hint="cs"/>
          <w:rtl/>
        </w:rPr>
        <w:t>התקיימות</w:t>
      </w:r>
      <w:r w:rsidR="007C0F0D">
        <w:rPr>
          <w:rFonts w:hint="cs"/>
          <w:rtl/>
        </w:rPr>
        <w:t>ה של</w:t>
      </w:r>
      <w:r w:rsidR="008878AE">
        <w:rPr>
          <w:rFonts w:hint="cs"/>
          <w:rtl/>
        </w:rPr>
        <w:t xml:space="preserve"> עבירת השיבוש </w:t>
      </w:r>
      <w:r w:rsidR="007C0F0D">
        <w:rPr>
          <w:rFonts w:hint="cs"/>
          <w:rtl/>
        </w:rPr>
        <w:t xml:space="preserve">בעניינו של המערער, </w:t>
      </w:r>
      <w:r w:rsidR="008878AE">
        <w:rPr>
          <w:rFonts w:hint="cs"/>
          <w:rtl/>
        </w:rPr>
        <w:t>מחזקת את המסקנה לגבי ביסוס יסודות עבירת הרצח בכוונה תחילה</w:t>
      </w:r>
      <w:r w:rsidR="006246BC">
        <w:rPr>
          <w:rFonts w:hint="cs"/>
          <w:rtl/>
        </w:rPr>
        <w:t xml:space="preserve"> (כהגדרת עבירת הרצח בטרם הרפורמה בעבירות ההמתה)</w:t>
      </w:r>
      <w:r w:rsidR="008878AE">
        <w:rPr>
          <w:rFonts w:hint="cs"/>
          <w:rtl/>
        </w:rPr>
        <w:t xml:space="preserve">. </w:t>
      </w:r>
    </w:p>
    <w:p w:rsidR="00E34848" w:rsidRDefault="00E34848" w:rsidP="00E34848">
      <w:pPr>
        <w:pStyle w:val="Ruller40"/>
        <w:rPr>
          <w:rtl/>
        </w:rPr>
      </w:pPr>
    </w:p>
    <w:p w:rsidR="00E34848" w:rsidRPr="00796465" w:rsidRDefault="008878AE" w:rsidP="0068014E">
      <w:pPr>
        <w:pStyle w:val="Ruller4"/>
        <w:rPr>
          <w:rtl/>
        </w:rPr>
      </w:pPr>
      <w:r w:rsidRPr="00796465">
        <w:rPr>
          <w:rFonts w:hint="cs"/>
          <w:rtl/>
        </w:rPr>
        <w:t xml:space="preserve">בית המשפט המחוזי קבע </w:t>
      </w:r>
      <w:r w:rsidR="006246BC" w:rsidRPr="00796465">
        <w:rPr>
          <w:rFonts w:hint="cs"/>
          <w:rtl/>
        </w:rPr>
        <w:t xml:space="preserve">בגזר הדין כי </w:t>
      </w:r>
      <w:r w:rsidRPr="00796465">
        <w:rPr>
          <w:rFonts w:hint="cs"/>
          <w:rtl/>
        </w:rPr>
        <w:t>מדובר</w:t>
      </w:r>
      <w:r w:rsidR="0068014E" w:rsidRPr="00796465">
        <w:rPr>
          <w:rFonts w:hint="cs"/>
          <w:rtl/>
        </w:rPr>
        <w:t>, הלכה למעשה,</w:t>
      </w:r>
      <w:r w:rsidRPr="00796465">
        <w:rPr>
          <w:rFonts w:hint="cs"/>
          <w:rtl/>
        </w:rPr>
        <w:t xml:space="preserve"> ב</w:t>
      </w:r>
      <w:r w:rsidR="00F03E1B">
        <w:rPr>
          <w:rFonts w:hint="cs"/>
          <w:rtl/>
        </w:rPr>
        <w:t>"</w:t>
      </w:r>
      <w:r w:rsidRPr="00796465">
        <w:rPr>
          <w:rFonts w:hint="cs"/>
          <w:rtl/>
        </w:rPr>
        <w:t>אירוע אחד</w:t>
      </w:r>
      <w:r w:rsidR="00F03E1B">
        <w:rPr>
          <w:rFonts w:hint="cs"/>
          <w:rtl/>
        </w:rPr>
        <w:t>"</w:t>
      </w:r>
      <w:r w:rsidRPr="00796465">
        <w:rPr>
          <w:rFonts w:hint="cs"/>
          <w:rtl/>
        </w:rPr>
        <w:t xml:space="preserve">, בגינו יש לגזור על המערער לצד עונש מאסר עולם חובה, עונש של שנת מאסר </w:t>
      </w:r>
      <w:r w:rsidR="0068014E" w:rsidRPr="00796465">
        <w:rPr>
          <w:rFonts w:hint="cs"/>
          <w:rtl/>
        </w:rPr>
        <w:t xml:space="preserve">בפועל </w:t>
      </w:r>
      <w:r w:rsidRPr="00796465">
        <w:rPr>
          <w:rFonts w:hint="cs"/>
          <w:rtl/>
        </w:rPr>
        <w:t xml:space="preserve">בגין עבירת שיבוש מהלכי משפט, </w:t>
      </w:r>
      <w:r w:rsidR="0068014E" w:rsidRPr="00796465">
        <w:rPr>
          <w:rFonts w:hint="cs"/>
          <w:rtl/>
        </w:rPr>
        <w:t>לריצוי</w:t>
      </w:r>
      <w:r w:rsidRPr="00796465">
        <w:rPr>
          <w:rFonts w:hint="cs"/>
          <w:rtl/>
        </w:rPr>
        <w:t xml:space="preserve"> בחופף. כן הושת על המערער תשלום הפיצוי המקסימלי הקבוע בחוק </w:t>
      </w:r>
      <w:r w:rsidRPr="00796465">
        <w:rPr>
          <w:rtl/>
        </w:rPr>
        <w:t>–</w:t>
      </w:r>
      <w:r w:rsidRPr="00796465">
        <w:rPr>
          <w:rFonts w:hint="cs"/>
          <w:rtl/>
        </w:rPr>
        <w:t xml:space="preserve"> 258,000 ש"ח, לטובת ילדי המנוחה </w:t>
      </w:r>
      <w:r w:rsidRPr="00796465">
        <w:rPr>
          <w:rtl/>
        </w:rPr>
        <w:t>–</w:t>
      </w:r>
      <w:r w:rsidRPr="00796465">
        <w:rPr>
          <w:rFonts w:hint="cs"/>
          <w:rtl/>
        </w:rPr>
        <w:t xml:space="preserve"> הקטינה והתינוק. </w:t>
      </w:r>
    </w:p>
    <w:p w:rsidR="00813A06" w:rsidRPr="00813A06" w:rsidRDefault="00813A06" w:rsidP="00813A06">
      <w:pPr>
        <w:pStyle w:val="Ruller40"/>
        <w:rPr>
          <w:rtl/>
        </w:rPr>
      </w:pPr>
    </w:p>
    <w:p w:rsidR="00DF50E1" w:rsidRDefault="00375832" w:rsidP="00DF50E1">
      <w:pPr>
        <w:pStyle w:val="Ruller40"/>
        <w:rPr>
          <w:rFonts w:ascii="Century" w:hAnsi="Century" w:cs="Miriam"/>
          <w:b/>
          <w:spacing w:val="0"/>
          <w:szCs w:val="24"/>
          <w:rtl/>
        </w:rPr>
      </w:pPr>
      <w:r>
        <w:rPr>
          <w:rFonts w:ascii="Century" w:hAnsi="Century" w:cs="Miriam" w:hint="cs"/>
          <w:b/>
          <w:spacing w:val="0"/>
          <w:szCs w:val="24"/>
          <w:rtl/>
        </w:rPr>
        <w:t>טענות הצדדים</w:t>
      </w:r>
      <w:r w:rsidR="00B635D5">
        <w:rPr>
          <w:rFonts w:ascii="Century" w:hAnsi="Century" w:cs="Miriam" w:hint="cs"/>
          <w:b/>
          <w:spacing w:val="0"/>
          <w:szCs w:val="24"/>
          <w:rtl/>
        </w:rPr>
        <w:t xml:space="preserve"> בערעור</w:t>
      </w:r>
    </w:p>
    <w:p w:rsidR="00D87088" w:rsidRDefault="00D87088" w:rsidP="00D87088">
      <w:pPr>
        <w:pStyle w:val="Ruller40"/>
        <w:rPr>
          <w:rtl/>
        </w:rPr>
      </w:pPr>
    </w:p>
    <w:p w:rsidR="00530F44" w:rsidRDefault="00D87088" w:rsidP="005C6189">
      <w:pPr>
        <w:pStyle w:val="Ruller4"/>
      </w:pPr>
      <w:r>
        <w:rPr>
          <w:rtl/>
        </w:rPr>
        <w:tab/>
      </w:r>
      <w:r w:rsidR="00B635D5">
        <w:rPr>
          <w:rFonts w:hint="cs"/>
          <w:rtl/>
        </w:rPr>
        <w:t>חלק משמעותי מטענות</w:t>
      </w:r>
      <w:r w:rsidR="000C5875">
        <w:rPr>
          <w:rFonts w:hint="cs"/>
          <w:rtl/>
        </w:rPr>
        <w:t xml:space="preserve"> המערער </w:t>
      </w:r>
      <w:r w:rsidR="00B635D5">
        <w:rPr>
          <w:rFonts w:hint="cs"/>
          <w:rtl/>
        </w:rPr>
        <w:t>ממוקדות</w:t>
      </w:r>
      <w:r w:rsidR="00377908">
        <w:rPr>
          <w:rFonts w:hint="cs"/>
          <w:rtl/>
        </w:rPr>
        <w:t xml:space="preserve"> בקביעות בית המשפט המחוזי ביחס לעדות אחותו, ובפרט, </w:t>
      </w:r>
      <w:r w:rsidR="00C457E4">
        <w:rPr>
          <w:rFonts w:hint="cs"/>
          <w:rtl/>
        </w:rPr>
        <w:t xml:space="preserve">עדותה על השיחה הראשונה והשיחה </w:t>
      </w:r>
      <w:proofErr w:type="spellStart"/>
      <w:r w:rsidR="00C457E4">
        <w:rPr>
          <w:rFonts w:hint="cs"/>
          <w:rtl/>
        </w:rPr>
        <w:t>השניה</w:t>
      </w:r>
      <w:proofErr w:type="spellEnd"/>
      <w:r w:rsidR="00C457E4">
        <w:rPr>
          <w:rFonts w:hint="cs"/>
          <w:rtl/>
        </w:rPr>
        <w:t xml:space="preserve">, שהתקיימו </w:t>
      </w:r>
      <w:r w:rsidR="00377908">
        <w:rPr>
          <w:rFonts w:hint="cs"/>
          <w:rtl/>
        </w:rPr>
        <w:t xml:space="preserve">בסמוך לפני אירוע ההמתה. לטענת המערער, נפלו מספר פגמים במהלך חקירת אחותו, אשר בית המשפט המחוזי לא נדרש להם כראוי בהכרעת הדין. בכלל זה, כי </w:t>
      </w:r>
      <w:r w:rsidR="00821BA2">
        <w:rPr>
          <w:rFonts w:hint="cs"/>
          <w:rtl/>
        </w:rPr>
        <w:t>חקירת האחות הייתה "דורסנית וקשה" ו</w:t>
      </w:r>
      <w:r w:rsidR="00377908">
        <w:rPr>
          <w:rFonts w:hint="cs"/>
          <w:rtl/>
        </w:rPr>
        <w:t>מלווה ב"הפחדות ואיומים" מצד השוטרים, כל זאת תוך ניצול מצבה הרגיש מאחר שהיא נשואה לאח</w:t>
      </w:r>
      <w:r w:rsidR="000A0469">
        <w:rPr>
          <w:rFonts w:hint="cs"/>
          <w:rtl/>
        </w:rPr>
        <w:t>י</w:t>
      </w:r>
      <w:r w:rsidR="00377908">
        <w:rPr>
          <w:rFonts w:hint="cs"/>
          <w:rtl/>
        </w:rPr>
        <w:t xml:space="preserve"> המנוחה; חקירת האחות לא התנהלה תחת אזהרה</w:t>
      </w:r>
      <w:r w:rsidR="00C457E4">
        <w:rPr>
          <w:rFonts w:hint="cs"/>
          <w:rtl/>
        </w:rPr>
        <w:t xml:space="preserve"> כפי שנדרש היה</w:t>
      </w:r>
      <w:r w:rsidR="00377908">
        <w:rPr>
          <w:rFonts w:hint="cs"/>
          <w:rtl/>
        </w:rPr>
        <w:t xml:space="preserve">; </w:t>
      </w:r>
      <w:r w:rsidR="000A0469">
        <w:rPr>
          <w:rFonts w:hint="cs"/>
          <w:rtl/>
        </w:rPr>
        <w:t>האחות</w:t>
      </w:r>
      <w:r w:rsidR="00377908">
        <w:rPr>
          <w:rFonts w:hint="cs"/>
          <w:rtl/>
        </w:rPr>
        <w:t xml:space="preserve"> </w:t>
      </w:r>
      <w:r w:rsidR="003D174F">
        <w:rPr>
          <w:rFonts w:hint="cs"/>
          <w:rtl/>
        </w:rPr>
        <w:t>"</w:t>
      </w:r>
      <w:r w:rsidR="00377908">
        <w:rPr>
          <w:rFonts w:hint="cs"/>
          <w:rtl/>
        </w:rPr>
        <w:t>ה</w:t>
      </w:r>
      <w:r w:rsidR="000A0469">
        <w:rPr>
          <w:rFonts w:hint="cs"/>
          <w:rtl/>
        </w:rPr>
        <w:t>ו</w:t>
      </w:r>
      <w:r w:rsidR="00377908">
        <w:rPr>
          <w:rFonts w:hint="cs"/>
          <w:rtl/>
        </w:rPr>
        <w:t>כוונה</w:t>
      </w:r>
      <w:r w:rsidR="003D174F">
        <w:rPr>
          <w:rFonts w:hint="cs"/>
          <w:rtl/>
        </w:rPr>
        <w:t>"</w:t>
      </w:r>
      <w:r w:rsidR="00377908">
        <w:rPr>
          <w:rFonts w:hint="cs"/>
          <w:rtl/>
        </w:rPr>
        <w:t xml:space="preserve"> על ידי החוקרים לומר דברים שהם חפצים לשמוע; וכן הופרו הוראות החוק בכך שבוצעה חדירה </w:t>
      </w:r>
      <w:r w:rsidR="003D174F">
        <w:rPr>
          <w:rFonts w:hint="cs"/>
          <w:rtl/>
        </w:rPr>
        <w:t xml:space="preserve">שלא כדין </w:t>
      </w:r>
      <w:r w:rsidR="00377908">
        <w:rPr>
          <w:rFonts w:hint="cs"/>
          <w:rtl/>
        </w:rPr>
        <w:t xml:space="preserve">למכשיר הטלפון הנייד של </w:t>
      </w:r>
      <w:r w:rsidR="005C6189">
        <w:rPr>
          <w:rFonts w:hint="cs"/>
          <w:rtl/>
        </w:rPr>
        <w:t>ה</w:t>
      </w:r>
      <w:r w:rsidR="00377908">
        <w:rPr>
          <w:rFonts w:hint="cs"/>
          <w:rtl/>
        </w:rPr>
        <w:t>אחות,</w:t>
      </w:r>
      <w:r w:rsidR="00530F44">
        <w:rPr>
          <w:rFonts w:hint="cs"/>
          <w:rtl/>
        </w:rPr>
        <w:t xml:space="preserve"> ללא צו בית משפט או הסכמה מדעת.</w:t>
      </w:r>
    </w:p>
    <w:p w:rsidR="00530F44" w:rsidRDefault="00530F44" w:rsidP="00530F44">
      <w:pPr>
        <w:pStyle w:val="Ruller4"/>
        <w:numPr>
          <w:ilvl w:val="0"/>
          <w:numId w:val="0"/>
        </w:numPr>
        <w:rPr>
          <w:rtl/>
        </w:rPr>
      </w:pPr>
    </w:p>
    <w:p w:rsidR="00D87088" w:rsidRPr="00D87088" w:rsidRDefault="00530F44" w:rsidP="003D174F">
      <w:pPr>
        <w:pStyle w:val="Ruller4"/>
        <w:numPr>
          <w:ilvl w:val="0"/>
          <w:numId w:val="0"/>
        </w:numPr>
        <w:rPr>
          <w:rtl/>
        </w:rPr>
      </w:pPr>
      <w:r>
        <w:rPr>
          <w:rtl/>
        </w:rPr>
        <w:lastRenderedPageBreak/>
        <w:tab/>
      </w:r>
      <w:r w:rsidR="00377908">
        <w:rPr>
          <w:rFonts w:hint="cs"/>
          <w:rtl/>
        </w:rPr>
        <w:t xml:space="preserve">מטעמים אלו, לטענת המערער </w:t>
      </w:r>
      <w:r w:rsidR="003D174F">
        <w:rPr>
          <w:rFonts w:hint="cs"/>
          <w:rtl/>
        </w:rPr>
        <w:t>יש</w:t>
      </w:r>
      <w:r w:rsidR="00377908">
        <w:rPr>
          <w:rFonts w:hint="cs"/>
          <w:rtl/>
        </w:rPr>
        <w:t xml:space="preserve"> לפסול את עדות אחותו</w:t>
      </w:r>
      <w:r w:rsidR="000C5875">
        <w:rPr>
          <w:rFonts w:hint="cs"/>
          <w:rtl/>
        </w:rPr>
        <w:t xml:space="preserve"> בהתאם</w:t>
      </w:r>
      <w:r w:rsidR="00377908">
        <w:rPr>
          <w:rFonts w:hint="cs"/>
          <w:rtl/>
        </w:rPr>
        <w:t xml:space="preserve"> </w:t>
      </w:r>
      <w:r w:rsidR="00821BA2">
        <w:rPr>
          <w:rFonts w:hint="cs"/>
          <w:rtl/>
        </w:rPr>
        <w:t>ל</w:t>
      </w:r>
      <w:r w:rsidR="00377908">
        <w:rPr>
          <w:rFonts w:hint="cs"/>
          <w:rtl/>
        </w:rPr>
        <w:t xml:space="preserve">הלכת </w:t>
      </w:r>
      <w:proofErr w:type="spellStart"/>
      <w:r w:rsidR="00377908" w:rsidRPr="00793525">
        <w:rPr>
          <w:rFonts w:ascii="Century" w:hAnsi="Century" w:cs="Miriam" w:hint="cs"/>
          <w:b/>
          <w:spacing w:val="0"/>
          <w:sz w:val="22"/>
          <w:szCs w:val="24"/>
          <w:rtl/>
        </w:rPr>
        <w:t>יששכרוב</w:t>
      </w:r>
      <w:proofErr w:type="spellEnd"/>
      <w:r w:rsidR="00793525">
        <w:rPr>
          <w:rFonts w:hint="cs"/>
          <w:rtl/>
        </w:rPr>
        <w:t xml:space="preserve"> </w:t>
      </w:r>
      <w:r w:rsidR="00793525" w:rsidRPr="00793525">
        <w:rPr>
          <w:rFonts w:hint="cs"/>
          <w:rtl/>
        </w:rPr>
        <w:t>(</w:t>
      </w:r>
      <w:r w:rsidR="00793525" w:rsidRPr="00793525">
        <w:rPr>
          <w:rtl/>
        </w:rPr>
        <w:t xml:space="preserve">ע"פ 5121/98 </w:t>
      </w:r>
      <w:proofErr w:type="spellStart"/>
      <w:r w:rsidR="00793525" w:rsidRPr="00793525">
        <w:rPr>
          <w:rFonts w:ascii="Century" w:hAnsi="Century" w:cs="Miriam"/>
          <w:b/>
          <w:spacing w:val="0"/>
          <w:sz w:val="22"/>
          <w:szCs w:val="24"/>
          <w:rtl/>
        </w:rPr>
        <w:t>יששכרוב</w:t>
      </w:r>
      <w:proofErr w:type="spellEnd"/>
      <w:r w:rsidR="00793525" w:rsidRPr="00793525">
        <w:rPr>
          <w:rFonts w:ascii="Century" w:hAnsi="Century" w:cs="Miriam"/>
          <w:b/>
          <w:spacing w:val="0"/>
          <w:sz w:val="22"/>
          <w:szCs w:val="24"/>
          <w:rtl/>
        </w:rPr>
        <w:t xml:space="preserve"> נ' התובע הצבאי</w:t>
      </w:r>
      <w:r w:rsidR="00793525" w:rsidRPr="00793525">
        <w:rPr>
          <w:rtl/>
        </w:rPr>
        <w:t xml:space="preserve">, </w:t>
      </w:r>
      <w:r w:rsidR="00793525" w:rsidRPr="00793525">
        <w:rPr>
          <w:rFonts w:hint="cs"/>
          <w:rtl/>
        </w:rPr>
        <w:t xml:space="preserve">פ"ד </w:t>
      </w:r>
      <w:proofErr w:type="spellStart"/>
      <w:r w:rsidR="00793525">
        <w:rPr>
          <w:rtl/>
        </w:rPr>
        <w:t>סא</w:t>
      </w:r>
      <w:proofErr w:type="spellEnd"/>
      <w:r w:rsidR="00793525">
        <w:rPr>
          <w:rtl/>
        </w:rPr>
        <w:t>(1)</w:t>
      </w:r>
      <w:r w:rsidR="00793525" w:rsidRPr="00793525">
        <w:rPr>
          <w:rtl/>
        </w:rPr>
        <w:t>461</w:t>
      </w:r>
      <w:r w:rsidR="00793525" w:rsidRPr="00793525">
        <w:rPr>
          <w:rFonts w:hint="cs"/>
          <w:rtl/>
        </w:rPr>
        <w:t xml:space="preserve"> (2006)</w:t>
      </w:r>
      <w:r w:rsidR="00793525">
        <w:rPr>
          <w:rFonts w:hint="cs"/>
          <w:rtl/>
        </w:rPr>
        <w:t xml:space="preserve">; לעיל ולהלן: הלכת </w:t>
      </w:r>
      <w:proofErr w:type="spellStart"/>
      <w:r w:rsidR="00793525" w:rsidRPr="00793525">
        <w:rPr>
          <w:rFonts w:ascii="Century" w:hAnsi="Century" w:cs="Miriam" w:hint="cs"/>
          <w:b/>
          <w:spacing w:val="0"/>
          <w:sz w:val="22"/>
          <w:szCs w:val="24"/>
          <w:rtl/>
        </w:rPr>
        <w:t>יששכרוב</w:t>
      </w:r>
      <w:proofErr w:type="spellEnd"/>
      <w:r w:rsidR="00793525" w:rsidRPr="00793525">
        <w:rPr>
          <w:rFonts w:hint="cs"/>
          <w:rtl/>
        </w:rPr>
        <w:t>)</w:t>
      </w:r>
      <w:r w:rsidR="00793525">
        <w:rPr>
          <w:rFonts w:hint="cs"/>
          <w:rtl/>
        </w:rPr>
        <w:t>,</w:t>
      </w:r>
      <w:r w:rsidR="00793525">
        <w:rPr>
          <w:rFonts w:hint="cs"/>
          <w:color w:val="000000"/>
          <w:sz w:val="27"/>
          <w:szCs w:val="27"/>
          <w:rtl/>
        </w:rPr>
        <w:t xml:space="preserve"> </w:t>
      </w:r>
      <w:r w:rsidR="000C5875">
        <w:rPr>
          <w:rFonts w:hint="cs"/>
          <w:rtl/>
        </w:rPr>
        <w:t>ו</w:t>
      </w:r>
      <w:r w:rsidR="00377908">
        <w:rPr>
          <w:rFonts w:hint="cs"/>
          <w:rtl/>
        </w:rPr>
        <w:t xml:space="preserve">בהתאם לסעיף </w:t>
      </w:r>
      <w:r w:rsidR="00793525">
        <w:rPr>
          <w:rFonts w:hint="cs"/>
          <w:rtl/>
        </w:rPr>
        <w:t>56א(א) ל</w:t>
      </w:r>
      <w:r w:rsidR="00793525" w:rsidRPr="00793525">
        <w:rPr>
          <w:rtl/>
        </w:rPr>
        <w:t xml:space="preserve">פקודת הראיות [נוסח חדש], </w:t>
      </w:r>
      <w:r w:rsidR="00793525">
        <w:rPr>
          <w:rFonts w:hint="cs"/>
          <w:rtl/>
        </w:rPr>
        <w:t>ה</w:t>
      </w:r>
      <w:r w:rsidR="00793525" w:rsidRPr="00793525">
        <w:rPr>
          <w:rtl/>
        </w:rPr>
        <w:t>תשל"א-1971</w:t>
      </w:r>
      <w:r w:rsidR="00856618">
        <w:rPr>
          <w:rFonts w:hint="cs"/>
          <w:rtl/>
        </w:rPr>
        <w:t xml:space="preserve"> (להלן: </w:t>
      </w:r>
      <w:r w:rsidR="00856618" w:rsidRPr="00856618">
        <w:rPr>
          <w:rFonts w:ascii="Century" w:hAnsi="Century" w:cs="Miriam" w:hint="cs"/>
          <w:b/>
          <w:spacing w:val="0"/>
          <w:sz w:val="22"/>
          <w:szCs w:val="24"/>
          <w:rtl/>
        </w:rPr>
        <w:t>פקודת הראיות</w:t>
      </w:r>
      <w:r w:rsidR="00856618">
        <w:rPr>
          <w:rFonts w:hint="cs"/>
          <w:rtl/>
        </w:rPr>
        <w:t>)</w:t>
      </w:r>
      <w:r w:rsidR="002472EB">
        <w:rPr>
          <w:rFonts w:hint="cs"/>
          <w:rtl/>
        </w:rPr>
        <w:t>, ככל שהוא חל בנסיבות העניין</w:t>
      </w:r>
      <w:r w:rsidR="00856618">
        <w:rPr>
          <w:rFonts w:hint="cs"/>
          <w:rtl/>
        </w:rPr>
        <w:t>.</w:t>
      </w:r>
      <w:r w:rsidR="00793525">
        <w:rPr>
          <w:rFonts w:hint="cs"/>
          <w:rtl/>
        </w:rPr>
        <w:t xml:space="preserve"> </w:t>
      </w:r>
      <w:r w:rsidR="00377908">
        <w:rPr>
          <w:rFonts w:hint="cs"/>
          <w:rtl/>
        </w:rPr>
        <w:t xml:space="preserve">עוד נטען, כי ממילא לא ניתן לסמוך על </w:t>
      </w:r>
      <w:r w:rsidR="00793525">
        <w:rPr>
          <w:rFonts w:hint="cs"/>
          <w:rtl/>
        </w:rPr>
        <w:t>דברי אחות המערער</w:t>
      </w:r>
      <w:r w:rsidR="00377908">
        <w:rPr>
          <w:rFonts w:hint="cs"/>
          <w:rtl/>
        </w:rPr>
        <w:t xml:space="preserve">, </w:t>
      </w:r>
      <w:r w:rsidR="00793525">
        <w:rPr>
          <w:rFonts w:hint="cs"/>
          <w:rtl/>
        </w:rPr>
        <w:t>מאחר שמדובר</w:t>
      </w:r>
      <w:r w:rsidR="00377908">
        <w:rPr>
          <w:rFonts w:hint="cs"/>
          <w:rtl/>
        </w:rPr>
        <w:t xml:space="preserve"> </w:t>
      </w:r>
      <w:r w:rsidR="00793525">
        <w:rPr>
          <w:rFonts w:hint="cs"/>
          <w:rtl/>
        </w:rPr>
        <w:t>ב</w:t>
      </w:r>
      <w:r w:rsidR="00377908">
        <w:rPr>
          <w:rFonts w:hint="cs"/>
          <w:rtl/>
        </w:rPr>
        <w:t xml:space="preserve">עדה לא אמינה אשר עדותה השתנתה בהתאם לנסיבות. </w:t>
      </w:r>
    </w:p>
    <w:p w:rsidR="00DF50E1" w:rsidRDefault="00DF50E1" w:rsidP="00DF50E1">
      <w:pPr>
        <w:pStyle w:val="Ruller40"/>
        <w:rPr>
          <w:rtl/>
        </w:rPr>
      </w:pPr>
      <w:r>
        <w:rPr>
          <w:rtl/>
        </w:rPr>
        <w:tab/>
      </w:r>
    </w:p>
    <w:p w:rsidR="00793525" w:rsidRDefault="00793525" w:rsidP="003D174F">
      <w:pPr>
        <w:pStyle w:val="Ruller40"/>
        <w:rPr>
          <w:rtl/>
        </w:rPr>
      </w:pPr>
      <w:r>
        <w:rPr>
          <w:rtl/>
        </w:rPr>
        <w:tab/>
      </w:r>
      <w:r>
        <w:rPr>
          <w:rFonts w:hint="cs"/>
          <w:rtl/>
        </w:rPr>
        <w:t xml:space="preserve">טענה נוספת של המערער, </w:t>
      </w:r>
      <w:r w:rsidR="0030748C">
        <w:rPr>
          <w:rFonts w:hint="cs"/>
          <w:rtl/>
        </w:rPr>
        <w:t>אף היא</w:t>
      </w:r>
      <w:r>
        <w:rPr>
          <w:rFonts w:hint="cs"/>
          <w:rtl/>
        </w:rPr>
        <w:t xml:space="preserve"> </w:t>
      </w:r>
      <w:r w:rsidR="0030748C">
        <w:rPr>
          <w:rFonts w:hint="cs"/>
          <w:rtl/>
        </w:rPr>
        <w:t>ביחס</w:t>
      </w:r>
      <w:r w:rsidR="00A94843">
        <w:rPr>
          <w:rFonts w:hint="cs"/>
          <w:rtl/>
        </w:rPr>
        <w:t xml:space="preserve"> לעדות</w:t>
      </w:r>
      <w:r>
        <w:rPr>
          <w:rFonts w:hint="cs"/>
          <w:rtl/>
        </w:rPr>
        <w:t xml:space="preserve"> אחותו, </w:t>
      </w:r>
      <w:r w:rsidR="00C457E4">
        <w:rPr>
          <w:rFonts w:hint="cs"/>
          <w:rtl/>
        </w:rPr>
        <w:t>מתייחסת ל</w:t>
      </w:r>
      <w:r>
        <w:rPr>
          <w:rFonts w:hint="cs"/>
          <w:rtl/>
        </w:rPr>
        <w:t xml:space="preserve">משמעות </w:t>
      </w:r>
      <w:r w:rsidR="00A347E3">
        <w:rPr>
          <w:rFonts w:hint="cs"/>
          <w:rtl/>
        </w:rPr>
        <w:t>המילה בשפה הערבית "</w:t>
      </w:r>
      <w:proofErr w:type="spellStart"/>
      <w:r w:rsidR="00A347E3">
        <w:rPr>
          <w:rFonts w:hint="cs"/>
          <w:rtl/>
        </w:rPr>
        <w:t>יקתלהא</w:t>
      </w:r>
      <w:proofErr w:type="spellEnd"/>
      <w:r w:rsidR="00A347E3">
        <w:rPr>
          <w:rFonts w:hint="cs"/>
          <w:rtl/>
        </w:rPr>
        <w:t>". לטענת המערער, משמעותה</w:t>
      </w:r>
      <w:r w:rsidR="00C457E4">
        <w:rPr>
          <w:rFonts w:hint="cs"/>
          <w:rtl/>
        </w:rPr>
        <w:t xml:space="preserve"> </w:t>
      </w:r>
      <w:r w:rsidR="000C5875">
        <w:rPr>
          <w:rFonts w:hint="cs"/>
          <w:rtl/>
        </w:rPr>
        <w:t xml:space="preserve">הנכונה </w:t>
      </w:r>
      <w:r>
        <w:rPr>
          <w:rFonts w:hint="cs"/>
          <w:rtl/>
        </w:rPr>
        <w:t>היא "ירביץ לה"</w:t>
      </w:r>
      <w:r w:rsidR="005C6189">
        <w:rPr>
          <w:rFonts w:hint="cs"/>
          <w:rtl/>
        </w:rPr>
        <w:t>,</w:t>
      </w:r>
      <w:r>
        <w:rPr>
          <w:rFonts w:hint="cs"/>
          <w:rtl/>
        </w:rPr>
        <w:t xml:space="preserve"> ולא "ירצח</w:t>
      </w:r>
      <w:r w:rsidR="002472EB">
        <w:rPr>
          <w:rFonts w:hint="cs"/>
          <w:rtl/>
        </w:rPr>
        <w:t xml:space="preserve"> אותה", כפי ש</w:t>
      </w:r>
      <w:r>
        <w:rPr>
          <w:rFonts w:hint="cs"/>
          <w:rtl/>
        </w:rPr>
        <w:t>מסר</w:t>
      </w:r>
      <w:r w:rsidR="00C457E4">
        <w:rPr>
          <w:rFonts w:hint="cs"/>
          <w:rtl/>
        </w:rPr>
        <w:t>ה</w:t>
      </w:r>
      <w:r>
        <w:rPr>
          <w:rFonts w:hint="cs"/>
          <w:rtl/>
        </w:rPr>
        <w:t xml:space="preserve"> </w:t>
      </w:r>
      <w:r w:rsidR="000C5875">
        <w:rPr>
          <w:rFonts w:hint="cs"/>
          <w:rtl/>
        </w:rPr>
        <w:t>האחות</w:t>
      </w:r>
      <w:r>
        <w:rPr>
          <w:rFonts w:hint="cs"/>
          <w:rtl/>
        </w:rPr>
        <w:t xml:space="preserve"> בחקירתה במשטרה. על כן, ומאחר שהמשיבה לא הביאה עדות מומחה ביחס למשמעות המדויקת של </w:t>
      </w:r>
      <w:r w:rsidR="00A347E3">
        <w:rPr>
          <w:rFonts w:hint="cs"/>
          <w:rtl/>
        </w:rPr>
        <w:t>מילה</w:t>
      </w:r>
      <w:r>
        <w:rPr>
          <w:rFonts w:hint="cs"/>
          <w:rtl/>
        </w:rPr>
        <w:t xml:space="preserve"> דו-מ</w:t>
      </w:r>
      <w:r w:rsidR="00C457E4">
        <w:rPr>
          <w:rFonts w:hint="cs"/>
          <w:rtl/>
        </w:rPr>
        <w:t>שמעי</w:t>
      </w:r>
      <w:r w:rsidR="00A347E3">
        <w:rPr>
          <w:rFonts w:hint="cs"/>
          <w:rtl/>
        </w:rPr>
        <w:t>ת</w:t>
      </w:r>
      <w:r w:rsidR="00C457E4">
        <w:rPr>
          <w:rFonts w:hint="cs"/>
          <w:rtl/>
        </w:rPr>
        <w:t xml:space="preserve"> </w:t>
      </w:r>
      <w:r w:rsidR="00A347E3">
        <w:rPr>
          <w:rFonts w:hint="cs"/>
          <w:rtl/>
        </w:rPr>
        <w:t>זו</w:t>
      </w:r>
      <w:r w:rsidR="00C457E4">
        <w:rPr>
          <w:rFonts w:hint="cs"/>
          <w:rtl/>
        </w:rPr>
        <w:t xml:space="preserve">, לא היה מקום </w:t>
      </w:r>
      <w:r w:rsidR="002472EB">
        <w:rPr>
          <w:rFonts w:hint="cs"/>
          <w:rtl/>
        </w:rPr>
        <w:t>להעניק</w:t>
      </w:r>
      <w:r w:rsidR="00C457E4">
        <w:rPr>
          <w:rFonts w:hint="cs"/>
          <w:rtl/>
        </w:rPr>
        <w:t xml:space="preserve"> </w:t>
      </w:r>
      <w:r w:rsidR="003D174F">
        <w:rPr>
          <w:rFonts w:hint="cs"/>
          <w:rtl/>
        </w:rPr>
        <w:t>לה</w:t>
      </w:r>
      <w:r w:rsidR="00C457E4">
        <w:rPr>
          <w:rFonts w:hint="cs"/>
          <w:rtl/>
        </w:rPr>
        <w:t xml:space="preserve"> משמעות ה</w:t>
      </w:r>
      <w:r>
        <w:rPr>
          <w:rFonts w:hint="cs"/>
          <w:rtl/>
        </w:rPr>
        <w:t>מחמירה</w:t>
      </w:r>
      <w:r w:rsidR="00C457E4">
        <w:rPr>
          <w:rFonts w:hint="cs"/>
          <w:rtl/>
        </w:rPr>
        <w:t xml:space="preserve"> עמו</w:t>
      </w:r>
      <w:r>
        <w:rPr>
          <w:rFonts w:hint="cs"/>
          <w:rtl/>
        </w:rPr>
        <w:t xml:space="preserve">. </w:t>
      </w:r>
    </w:p>
    <w:p w:rsidR="00793525" w:rsidRDefault="00793525" w:rsidP="00DF50E1">
      <w:pPr>
        <w:pStyle w:val="Ruller40"/>
        <w:rPr>
          <w:rtl/>
        </w:rPr>
      </w:pPr>
    </w:p>
    <w:p w:rsidR="0099278C" w:rsidRDefault="00793525" w:rsidP="002D0E47">
      <w:pPr>
        <w:pStyle w:val="Ruller4"/>
      </w:pPr>
      <w:r>
        <w:rPr>
          <w:rFonts w:hint="cs"/>
          <w:rtl/>
        </w:rPr>
        <w:t>המערער מוסיף ומשיג על קביעות בית המשפט המחוזי ביחס לשיח</w:t>
      </w:r>
      <w:r w:rsidR="00C457E4">
        <w:rPr>
          <w:rFonts w:hint="cs"/>
          <w:rtl/>
        </w:rPr>
        <w:t>ה המקדימה</w:t>
      </w:r>
      <w:r>
        <w:rPr>
          <w:rFonts w:hint="cs"/>
          <w:rtl/>
        </w:rPr>
        <w:t xml:space="preserve"> עם הקטינה ביום האירוע. לטענתו, הסתמכות בית המשפט המחוזי על כך שבחקירתו הנגדית המערער אישר כי התקשר לקטינה כדי לוודא שלא תגלה כי אמה נרצחה, שגויה, שכן </w:t>
      </w:r>
      <w:r w:rsidR="00CE5262">
        <w:rPr>
          <w:rFonts w:hint="cs"/>
          <w:rtl/>
        </w:rPr>
        <w:t xml:space="preserve">לא ברור </w:t>
      </w:r>
      <w:r w:rsidR="00EA0234">
        <w:rPr>
          <w:rFonts w:hint="cs"/>
          <w:rtl/>
        </w:rPr>
        <w:t xml:space="preserve">אם תשובת המערער מתייחסת לשיחה </w:t>
      </w:r>
      <w:r w:rsidR="002D0E47">
        <w:rPr>
          <w:rFonts w:hint="cs"/>
          <w:rtl/>
        </w:rPr>
        <w:t>המקדימה</w:t>
      </w:r>
      <w:r w:rsidR="00EA0234">
        <w:rPr>
          <w:rFonts w:hint="cs"/>
          <w:rtl/>
        </w:rPr>
        <w:t xml:space="preserve"> או לשיחות מאוחרות יותר,</w:t>
      </w:r>
      <w:r w:rsidR="0099278C">
        <w:rPr>
          <w:rFonts w:hint="cs"/>
          <w:rtl/>
        </w:rPr>
        <w:t xml:space="preserve"> חלקן לאחר מות המנוחה.</w:t>
      </w:r>
    </w:p>
    <w:p w:rsidR="0099278C" w:rsidRDefault="0099278C" w:rsidP="0099278C">
      <w:pPr>
        <w:pStyle w:val="Ruller4"/>
        <w:numPr>
          <w:ilvl w:val="0"/>
          <w:numId w:val="0"/>
        </w:numPr>
        <w:rPr>
          <w:rtl/>
        </w:rPr>
      </w:pPr>
    </w:p>
    <w:p w:rsidR="00793525" w:rsidRDefault="0099278C" w:rsidP="003D174F">
      <w:pPr>
        <w:pStyle w:val="Ruller4"/>
        <w:numPr>
          <w:ilvl w:val="0"/>
          <w:numId w:val="0"/>
        </w:numPr>
        <w:rPr>
          <w:rtl/>
        </w:rPr>
      </w:pPr>
      <w:r>
        <w:rPr>
          <w:rtl/>
        </w:rPr>
        <w:tab/>
      </w:r>
      <w:r w:rsidR="002D0E47">
        <w:rPr>
          <w:rFonts w:hint="cs"/>
          <w:rtl/>
        </w:rPr>
        <w:t>על פי הנטען,</w:t>
      </w:r>
      <w:r w:rsidR="00EA0234">
        <w:rPr>
          <w:rFonts w:hint="cs"/>
          <w:rtl/>
        </w:rPr>
        <w:t xml:space="preserve"> </w:t>
      </w:r>
      <w:r w:rsidR="002D0E47">
        <w:rPr>
          <w:rFonts w:hint="cs"/>
          <w:rtl/>
        </w:rPr>
        <w:t>המערער אף</w:t>
      </w:r>
      <w:r w:rsidR="00EA0234">
        <w:rPr>
          <w:rFonts w:hint="cs"/>
          <w:rtl/>
        </w:rPr>
        <w:t xml:space="preserve"> נתן הסבר עקבי ביחס </w:t>
      </w:r>
      <w:r w:rsidR="000C5875">
        <w:rPr>
          <w:rFonts w:hint="cs"/>
          <w:rtl/>
        </w:rPr>
        <w:t>לשיחה המקדימה</w:t>
      </w:r>
      <w:r w:rsidR="00EA0234">
        <w:rPr>
          <w:rFonts w:hint="cs"/>
          <w:rtl/>
        </w:rPr>
        <w:t xml:space="preserve">, </w:t>
      </w:r>
      <w:r w:rsidR="000C5875">
        <w:rPr>
          <w:rFonts w:hint="cs"/>
          <w:rtl/>
        </w:rPr>
        <w:t>שלפיו</w:t>
      </w:r>
      <w:r w:rsidR="00EA0234">
        <w:rPr>
          <w:rFonts w:hint="cs"/>
          <w:rtl/>
        </w:rPr>
        <w:t xml:space="preserve"> התקשר כדי לשאו</w:t>
      </w:r>
      <w:r w:rsidR="000C5875">
        <w:rPr>
          <w:rFonts w:hint="cs"/>
          <w:rtl/>
        </w:rPr>
        <w:t xml:space="preserve">ל לשלומה מאחר שהיא הייתה בטיול </w:t>
      </w:r>
      <w:r w:rsidR="00EA0234">
        <w:rPr>
          <w:rFonts w:hint="cs"/>
          <w:rtl/>
        </w:rPr>
        <w:t xml:space="preserve">ולנוכח בעיה בריאותית שממנה היא סובלת. לטענתו, לא היה כל סיבה לייחס לשיחה זו משמעות </w:t>
      </w:r>
      <w:r w:rsidR="00A347E3">
        <w:rPr>
          <w:rFonts w:hint="cs"/>
          <w:rtl/>
        </w:rPr>
        <w:t>"</w:t>
      </w:r>
      <w:r w:rsidR="00EA0234">
        <w:rPr>
          <w:rFonts w:hint="cs"/>
          <w:rtl/>
        </w:rPr>
        <w:t>דרמטית</w:t>
      </w:r>
      <w:r w:rsidR="00A347E3">
        <w:rPr>
          <w:rFonts w:hint="cs"/>
          <w:rtl/>
        </w:rPr>
        <w:t>"</w:t>
      </w:r>
      <w:r w:rsidR="00EA0234">
        <w:rPr>
          <w:rFonts w:hint="cs"/>
          <w:rtl/>
        </w:rPr>
        <w:t xml:space="preserve">, </w:t>
      </w:r>
      <w:r w:rsidR="00770CB1">
        <w:rPr>
          <w:rFonts w:hint="cs"/>
          <w:rtl/>
        </w:rPr>
        <w:t xml:space="preserve">שלפיה היא </w:t>
      </w:r>
      <w:r w:rsidR="003D174F">
        <w:rPr>
          <w:rFonts w:hint="cs"/>
          <w:rtl/>
        </w:rPr>
        <w:t>נערכה</w:t>
      </w:r>
      <w:r w:rsidR="00EA0234">
        <w:rPr>
          <w:rFonts w:hint="cs"/>
          <w:rtl/>
        </w:rPr>
        <w:t xml:space="preserve"> </w:t>
      </w:r>
      <w:r w:rsidR="00770CB1">
        <w:rPr>
          <w:rFonts w:hint="cs"/>
          <w:rtl/>
        </w:rPr>
        <w:t>על מנת</w:t>
      </w:r>
      <w:r w:rsidR="00EA0234">
        <w:rPr>
          <w:rFonts w:hint="cs"/>
          <w:rtl/>
        </w:rPr>
        <w:t xml:space="preserve"> ל</w:t>
      </w:r>
      <w:r w:rsidR="00A347E3">
        <w:rPr>
          <w:rFonts w:hint="cs"/>
          <w:rtl/>
        </w:rPr>
        <w:t>הכין ול</w:t>
      </w:r>
      <w:r w:rsidR="00EA0234">
        <w:rPr>
          <w:rFonts w:hint="cs"/>
          <w:rtl/>
        </w:rPr>
        <w:t>הכשיר את הקרקע למעשה ההמתה. עוד נטען, כי בית המשפט המחוזי</w:t>
      </w:r>
      <w:r w:rsidR="003D174F">
        <w:rPr>
          <w:rFonts w:hint="cs"/>
          <w:rtl/>
        </w:rPr>
        <w:t xml:space="preserve"> הסתמך לעניין זה על תמליל חקירת</w:t>
      </w:r>
      <w:r w:rsidR="00EA0234">
        <w:rPr>
          <w:rFonts w:hint="cs"/>
          <w:rtl/>
        </w:rPr>
        <w:t xml:space="preserve"> הקטינה במשטרה, בעוד שמדובר באמרות שהוגשו על ידי סנגורו של המערער דאז רק לצורך הוכחת אמירתן, ולא ניתן לבסס עליהן ממצא עובדתי לחובת המערער. </w:t>
      </w:r>
    </w:p>
    <w:p w:rsidR="00EA0234" w:rsidRDefault="00EA0234" w:rsidP="00EA0234">
      <w:pPr>
        <w:pStyle w:val="Ruller40"/>
        <w:rPr>
          <w:rtl/>
        </w:rPr>
      </w:pPr>
    </w:p>
    <w:p w:rsidR="0099278C" w:rsidRDefault="00EA0234" w:rsidP="00952EA8">
      <w:pPr>
        <w:pStyle w:val="Ruller4"/>
      </w:pPr>
      <w:r>
        <w:rPr>
          <w:rFonts w:hint="cs"/>
          <w:rtl/>
        </w:rPr>
        <w:t xml:space="preserve">אשר לקביעות העובדתיות של בית המשפט ביחס לאירוע ההמתה עצמו, </w:t>
      </w:r>
      <w:r w:rsidR="00506337">
        <w:rPr>
          <w:rFonts w:hint="cs"/>
          <w:rtl/>
        </w:rPr>
        <w:t xml:space="preserve">נטען כי </w:t>
      </w:r>
      <w:r>
        <w:rPr>
          <w:rFonts w:hint="cs"/>
          <w:rtl/>
        </w:rPr>
        <w:t xml:space="preserve">בית המשפט המחוזי שגה בקביעתו כי המערער סתם למנוחה את האף, שכן קביעה זו נעדרת ביסוס עובדתי. עוד נטען, כי המערער </w:t>
      </w:r>
      <w:r w:rsidR="00ED07DF">
        <w:rPr>
          <w:rFonts w:hint="cs"/>
          <w:rtl/>
        </w:rPr>
        <w:t xml:space="preserve">סבר, מבחינתו הסובייקטיבית, כי </w:t>
      </w:r>
      <w:r w:rsidR="000C5875">
        <w:rPr>
          <w:rFonts w:hint="cs"/>
          <w:rtl/>
        </w:rPr>
        <w:t>כריכת</w:t>
      </w:r>
      <w:r w:rsidR="00952EA8">
        <w:rPr>
          <w:rFonts w:hint="cs"/>
          <w:rtl/>
        </w:rPr>
        <w:t xml:space="preserve"> חבל סביב צוואר</w:t>
      </w:r>
      <w:r>
        <w:rPr>
          <w:rFonts w:hint="cs"/>
          <w:rtl/>
        </w:rPr>
        <w:t xml:space="preserve"> המנוחה, לאחר </w:t>
      </w:r>
      <w:r w:rsidR="00ED07DF">
        <w:rPr>
          <w:rFonts w:hint="cs"/>
          <w:rtl/>
        </w:rPr>
        <w:t>פטירתה</w:t>
      </w:r>
      <w:r w:rsidR="0099278C">
        <w:rPr>
          <w:rFonts w:hint="cs"/>
          <w:rtl/>
        </w:rPr>
        <w:t xml:space="preserve">, </w:t>
      </w:r>
      <w:r w:rsidR="000C5875">
        <w:rPr>
          <w:rFonts w:hint="cs"/>
          <w:rtl/>
        </w:rPr>
        <w:t>תלמד על כך שהיא התאבדה</w:t>
      </w:r>
      <w:r w:rsidR="0099278C">
        <w:rPr>
          <w:rFonts w:hint="cs"/>
          <w:rtl/>
        </w:rPr>
        <w:t>.</w:t>
      </w:r>
      <w:r w:rsidR="00ED07DF">
        <w:rPr>
          <w:rFonts w:hint="cs"/>
          <w:rtl/>
        </w:rPr>
        <w:t xml:space="preserve"> על כן, העובדה שהתנהגות זו </w:t>
      </w:r>
      <w:r w:rsidR="00506337">
        <w:rPr>
          <w:rFonts w:hint="cs"/>
          <w:rtl/>
        </w:rPr>
        <w:t>"</w:t>
      </w:r>
      <w:r w:rsidR="00ED07DF">
        <w:rPr>
          <w:rFonts w:hint="cs"/>
          <w:rtl/>
        </w:rPr>
        <w:t>אינה הגיונית</w:t>
      </w:r>
      <w:r w:rsidR="00506337">
        <w:rPr>
          <w:rFonts w:hint="cs"/>
          <w:rtl/>
        </w:rPr>
        <w:t>"</w:t>
      </w:r>
      <w:r w:rsidR="00ED07DF">
        <w:rPr>
          <w:rFonts w:hint="cs"/>
          <w:rtl/>
        </w:rPr>
        <w:t xml:space="preserve">, אינה שוללת את </w:t>
      </w:r>
      <w:r w:rsidR="00DE46F1">
        <w:rPr>
          <w:rFonts w:hint="cs"/>
          <w:rtl/>
        </w:rPr>
        <w:t>גרסתו</w:t>
      </w:r>
      <w:r w:rsidR="00ED07DF">
        <w:rPr>
          <w:rFonts w:hint="cs"/>
          <w:rtl/>
        </w:rPr>
        <w:t xml:space="preserve"> באשר להשתלשלות האירועים שהובילה למות המנוחה. </w:t>
      </w:r>
      <w:r w:rsidR="000C5875">
        <w:rPr>
          <w:rFonts w:hint="cs"/>
          <w:rtl/>
        </w:rPr>
        <w:t xml:space="preserve"> </w:t>
      </w:r>
    </w:p>
    <w:p w:rsidR="0099278C" w:rsidRDefault="0099278C" w:rsidP="0099278C">
      <w:pPr>
        <w:pStyle w:val="Ruller4"/>
        <w:numPr>
          <w:ilvl w:val="0"/>
          <w:numId w:val="0"/>
        </w:numPr>
        <w:rPr>
          <w:rtl/>
        </w:rPr>
      </w:pPr>
    </w:p>
    <w:p w:rsidR="00EA0234" w:rsidRDefault="0099278C" w:rsidP="00DE46F1">
      <w:pPr>
        <w:pStyle w:val="Ruller4"/>
        <w:numPr>
          <w:ilvl w:val="0"/>
          <w:numId w:val="0"/>
        </w:numPr>
        <w:rPr>
          <w:rtl/>
        </w:rPr>
      </w:pPr>
      <w:r>
        <w:rPr>
          <w:rtl/>
        </w:rPr>
        <w:lastRenderedPageBreak/>
        <w:tab/>
      </w:r>
      <w:r w:rsidR="009142E8">
        <w:rPr>
          <w:rFonts w:hint="cs"/>
          <w:rtl/>
        </w:rPr>
        <w:t>המערער</w:t>
      </w:r>
      <w:r w:rsidR="002D0E47">
        <w:rPr>
          <w:rFonts w:hint="cs"/>
          <w:rtl/>
        </w:rPr>
        <w:t xml:space="preserve"> הוסיף, כי</w:t>
      </w:r>
      <w:r w:rsidR="009142E8">
        <w:rPr>
          <w:rFonts w:hint="cs"/>
          <w:rtl/>
        </w:rPr>
        <w:t xml:space="preserve"> מאחר שהיה לו ברור ש</w:t>
      </w:r>
      <w:r w:rsidR="000C5875">
        <w:rPr>
          <w:rFonts w:hint="cs"/>
          <w:rtl/>
        </w:rPr>
        <w:t>ה</w:t>
      </w:r>
      <w:r w:rsidR="009142E8">
        <w:rPr>
          <w:rFonts w:hint="cs"/>
          <w:rtl/>
        </w:rPr>
        <w:t xml:space="preserve">מנוחה אינה </w:t>
      </w:r>
      <w:r w:rsidR="00DE46F1">
        <w:rPr>
          <w:rFonts w:hint="cs"/>
          <w:rtl/>
        </w:rPr>
        <w:t xml:space="preserve">עוד </w:t>
      </w:r>
      <w:r w:rsidR="009142E8">
        <w:rPr>
          <w:rFonts w:hint="cs"/>
          <w:rtl/>
        </w:rPr>
        <w:t xml:space="preserve">בין החיים, אין </w:t>
      </w:r>
      <w:r w:rsidR="00DE46F1">
        <w:rPr>
          <w:rFonts w:hint="cs"/>
          <w:rtl/>
        </w:rPr>
        <w:t>ללמוד</w:t>
      </w:r>
      <w:r w:rsidR="00724F53">
        <w:rPr>
          <w:rFonts w:hint="cs"/>
          <w:rtl/>
        </w:rPr>
        <w:t xml:space="preserve"> על</w:t>
      </w:r>
      <w:r w:rsidR="000C5875">
        <w:rPr>
          <w:rFonts w:hint="cs"/>
          <w:rtl/>
        </w:rPr>
        <w:t xml:space="preserve"> כוונתו עובר למעשה </w:t>
      </w:r>
      <w:r w:rsidR="00B2680F">
        <w:rPr>
          <w:rFonts w:hint="cs"/>
          <w:rtl/>
        </w:rPr>
        <w:t>מ</w:t>
      </w:r>
      <w:r w:rsidR="009142E8">
        <w:rPr>
          <w:rFonts w:hint="cs"/>
          <w:rtl/>
        </w:rPr>
        <w:t xml:space="preserve">העובדה כי לא הזעיק עזרה או </w:t>
      </w:r>
      <w:r w:rsidR="00B2680F">
        <w:rPr>
          <w:rFonts w:hint="cs"/>
          <w:rtl/>
        </w:rPr>
        <w:t xml:space="preserve">ניסה לסייע </w:t>
      </w:r>
      <w:r w:rsidR="000C5875">
        <w:rPr>
          <w:rFonts w:hint="cs"/>
          <w:rtl/>
        </w:rPr>
        <w:t>לה.</w:t>
      </w:r>
      <w:r w:rsidR="00B2680F">
        <w:rPr>
          <w:rFonts w:hint="cs"/>
          <w:rtl/>
        </w:rPr>
        <w:t xml:space="preserve"> כך גם ביחס למשמעות שבית המשפט המחוזי ייחס לכך שהמערער הזהיר את אחותו בשיחתם לאחר אירוע ההמתה </w:t>
      </w:r>
      <w:r w:rsidR="00DE46F1">
        <w:rPr>
          <w:rFonts w:hint="cs"/>
          <w:rtl/>
        </w:rPr>
        <w:t xml:space="preserve">כי </w:t>
      </w:r>
      <w:r w:rsidR="00B2680F">
        <w:rPr>
          <w:rFonts w:hint="cs"/>
          <w:rtl/>
        </w:rPr>
        <w:t>"</w:t>
      </w:r>
      <w:proofErr w:type="spellStart"/>
      <w:r w:rsidR="00B2680F">
        <w:rPr>
          <w:rFonts w:hint="cs"/>
          <w:rtl/>
        </w:rPr>
        <w:t>הכל</w:t>
      </w:r>
      <w:proofErr w:type="spellEnd"/>
      <w:r w:rsidR="00B2680F">
        <w:rPr>
          <w:rFonts w:hint="cs"/>
          <w:rtl/>
        </w:rPr>
        <w:t xml:space="preserve"> מוקלט". לדבריו, אמירה זו יכולה להתיישב גם עם גרסתו כי המית את המנוחה בטעות. המערער</w:t>
      </w:r>
      <w:r w:rsidR="000C5875" w:rsidRPr="000C5875">
        <w:rPr>
          <w:rFonts w:hint="cs"/>
          <w:rtl/>
        </w:rPr>
        <w:t xml:space="preserve"> </w:t>
      </w:r>
      <w:r w:rsidR="000C5875">
        <w:rPr>
          <w:rFonts w:hint="cs"/>
          <w:rtl/>
        </w:rPr>
        <w:t>מוסיף</w:t>
      </w:r>
      <w:r w:rsidR="00B2680F">
        <w:rPr>
          <w:rFonts w:hint="cs"/>
          <w:rtl/>
        </w:rPr>
        <w:t xml:space="preserve">, כי התנהלותו במהלך החקירה מלמדת שלא התכוון להמית את המנוחה, </w:t>
      </w:r>
      <w:r w:rsidR="002D0E47">
        <w:rPr>
          <w:rFonts w:hint="cs"/>
          <w:rtl/>
        </w:rPr>
        <w:t xml:space="preserve">מאחר </w:t>
      </w:r>
      <w:r w:rsidR="00DE46F1">
        <w:rPr>
          <w:rFonts w:hint="cs"/>
          <w:rtl/>
        </w:rPr>
        <w:t>ש</w:t>
      </w:r>
      <w:r w:rsidR="002D0E47">
        <w:rPr>
          <w:rFonts w:hint="cs"/>
          <w:rtl/>
        </w:rPr>
        <w:t xml:space="preserve">שיתף פעולה עם החקירה, </w:t>
      </w:r>
      <w:r w:rsidR="00B2680F">
        <w:rPr>
          <w:rFonts w:hint="cs"/>
          <w:rtl/>
        </w:rPr>
        <w:t>מסר פרטים שאומתו על-ידי</w:t>
      </w:r>
      <w:r w:rsidR="002D0E47">
        <w:rPr>
          <w:rFonts w:hint="cs"/>
          <w:rtl/>
        </w:rPr>
        <w:t xml:space="preserve"> ממצאים חיצוניים</w:t>
      </w:r>
      <w:r w:rsidR="00B14938">
        <w:rPr>
          <w:rFonts w:hint="cs"/>
          <w:rtl/>
        </w:rPr>
        <w:t xml:space="preserve"> ואף הוביל את החוקרים </w:t>
      </w:r>
      <w:r w:rsidR="000C5875">
        <w:rPr>
          <w:rFonts w:hint="cs"/>
          <w:rtl/>
        </w:rPr>
        <w:t xml:space="preserve">לבסוף למקום </w:t>
      </w:r>
      <w:proofErr w:type="spellStart"/>
      <w:r w:rsidR="00DE46F1">
        <w:rPr>
          <w:rFonts w:hint="cs"/>
          <w:rtl/>
        </w:rPr>
        <w:t>ה</w:t>
      </w:r>
      <w:r w:rsidR="00F84251">
        <w:rPr>
          <w:rFonts w:hint="cs"/>
          <w:rtl/>
        </w:rPr>
        <w:t>י</w:t>
      </w:r>
      <w:r w:rsidR="00DE46F1">
        <w:rPr>
          <w:rFonts w:hint="cs"/>
          <w:rtl/>
        </w:rPr>
        <w:t>מצאה</w:t>
      </w:r>
      <w:proofErr w:type="spellEnd"/>
      <w:r w:rsidR="00DE46F1">
        <w:rPr>
          <w:rFonts w:hint="cs"/>
          <w:rtl/>
        </w:rPr>
        <w:t xml:space="preserve"> של </w:t>
      </w:r>
      <w:r w:rsidR="00B14938">
        <w:rPr>
          <w:rFonts w:hint="cs"/>
          <w:rtl/>
        </w:rPr>
        <w:t xml:space="preserve">הגופה. </w:t>
      </w:r>
    </w:p>
    <w:p w:rsidR="00B14938" w:rsidRDefault="00B14938" w:rsidP="00B14938">
      <w:pPr>
        <w:pStyle w:val="Ruller40"/>
        <w:rPr>
          <w:rtl/>
        </w:rPr>
      </w:pPr>
    </w:p>
    <w:p w:rsidR="005D7A26" w:rsidRDefault="004748D2" w:rsidP="004748D2">
      <w:pPr>
        <w:pStyle w:val="Ruller4"/>
        <w:rPr>
          <w:rtl/>
        </w:rPr>
      </w:pPr>
      <w:r>
        <w:rPr>
          <w:rFonts w:hint="cs"/>
          <w:rtl/>
        </w:rPr>
        <w:t xml:space="preserve">עוד משיג המערער על מסקנתו המשפטית של בית המשפט המחוזי כי התקיימו יסודותיה של עבירת הרצח בכוונה תחילה, כהגדרתה בטרם הרפורמה בעבירותה ההמתה. </w:t>
      </w:r>
      <w:r w:rsidR="005D7A26">
        <w:rPr>
          <w:rFonts w:hint="cs"/>
          <w:rtl/>
        </w:rPr>
        <w:t>כמו כן נטען, כי בית המשפט המחוזי שגה בדחותו את טענת המערער כי מעשיו אינם באים בגדרי עבירת המתה ב</w:t>
      </w:r>
      <w:r w:rsidR="00DE46F1">
        <w:rPr>
          <w:rFonts w:hint="cs"/>
          <w:rtl/>
        </w:rPr>
        <w:t>"</w:t>
      </w:r>
      <w:r w:rsidR="005D7A26">
        <w:rPr>
          <w:rFonts w:hint="cs"/>
          <w:rtl/>
        </w:rPr>
        <w:t>קלות דעת</w:t>
      </w:r>
      <w:r w:rsidR="00DE46F1">
        <w:rPr>
          <w:rFonts w:hint="cs"/>
          <w:rtl/>
        </w:rPr>
        <w:t>"</w:t>
      </w:r>
      <w:r w:rsidR="005D7A26">
        <w:rPr>
          <w:rFonts w:hint="cs"/>
          <w:rtl/>
        </w:rPr>
        <w:t>, ולכל היותר, עבירת ההריגה</w:t>
      </w:r>
      <w:r w:rsidR="00DE46F1">
        <w:rPr>
          <w:rFonts w:hint="cs"/>
          <w:rtl/>
        </w:rPr>
        <w:t xml:space="preserve"> כהגדרתה דאז</w:t>
      </w:r>
      <w:r w:rsidR="005D7A26">
        <w:rPr>
          <w:rFonts w:hint="cs"/>
          <w:rtl/>
        </w:rPr>
        <w:t xml:space="preserve">. </w:t>
      </w:r>
    </w:p>
    <w:p w:rsidR="005D7A26" w:rsidRPr="005D7A26" w:rsidRDefault="005D7A26" w:rsidP="005D7A26">
      <w:pPr>
        <w:pStyle w:val="Ruller40"/>
        <w:rPr>
          <w:rtl/>
        </w:rPr>
      </w:pPr>
    </w:p>
    <w:p w:rsidR="00B14938" w:rsidRPr="00B14938" w:rsidRDefault="00B14938" w:rsidP="004719C7">
      <w:pPr>
        <w:pStyle w:val="Ruller4"/>
        <w:rPr>
          <w:rtl/>
        </w:rPr>
      </w:pPr>
      <w:r>
        <w:rPr>
          <w:rFonts w:hint="cs"/>
          <w:rtl/>
        </w:rPr>
        <w:t xml:space="preserve">למערער </w:t>
      </w:r>
      <w:r w:rsidR="004719C7">
        <w:rPr>
          <w:rFonts w:hint="cs"/>
          <w:rtl/>
        </w:rPr>
        <w:t>השגות</w:t>
      </w:r>
      <w:r>
        <w:rPr>
          <w:rFonts w:hint="cs"/>
          <w:rtl/>
        </w:rPr>
        <w:t xml:space="preserve"> גם ביחס לאופן יישום הרפורמה בעבירות ההמתה בעניינו. </w:t>
      </w:r>
      <w:r w:rsidR="004719C7">
        <w:rPr>
          <w:rFonts w:hint="cs"/>
          <w:rtl/>
        </w:rPr>
        <w:t>לשיטתו</w:t>
      </w:r>
      <w:r>
        <w:rPr>
          <w:rFonts w:hint="cs"/>
          <w:rtl/>
        </w:rPr>
        <w:t xml:space="preserve">, ככל שטענותיו האחרות לא יתקבלו, יש להרשיעו בעבירת הרצח הבסיסית, שכן מדובר במעשה המתה </w:t>
      </w:r>
      <w:r w:rsidR="004719C7">
        <w:rPr>
          <w:rFonts w:hint="cs"/>
          <w:rtl/>
        </w:rPr>
        <w:t>שבוצע</w:t>
      </w:r>
      <w:r>
        <w:rPr>
          <w:rFonts w:hint="cs"/>
          <w:rtl/>
        </w:rPr>
        <w:t xml:space="preserve"> באופן ספונטני, </w:t>
      </w:r>
      <w:r w:rsidR="004748D2">
        <w:rPr>
          <w:rFonts w:hint="cs"/>
          <w:rtl/>
        </w:rPr>
        <w:t>בעת</w:t>
      </w:r>
      <w:r w:rsidR="000C5875">
        <w:rPr>
          <w:rFonts w:hint="cs"/>
          <w:rtl/>
        </w:rPr>
        <w:t xml:space="preserve"> </w:t>
      </w:r>
      <w:r w:rsidR="004748D2">
        <w:rPr>
          <w:rFonts w:hint="cs"/>
          <w:rtl/>
        </w:rPr>
        <w:t>ש</w:t>
      </w:r>
      <w:r>
        <w:rPr>
          <w:rFonts w:hint="cs"/>
          <w:rtl/>
        </w:rPr>
        <w:t xml:space="preserve">המנוחה קנטרה </w:t>
      </w:r>
      <w:r w:rsidR="004748D2">
        <w:rPr>
          <w:rFonts w:hint="cs"/>
          <w:rtl/>
        </w:rPr>
        <w:t>אותו</w:t>
      </w:r>
      <w:r>
        <w:rPr>
          <w:rFonts w:hint="cs"/>
          <w:rtl/>
        </w:rPr>
        <w:t xml:space="preserve"> בצעקותיה, </w:t>
      </w:r>
      <w:r w:rsidR="004748D2">
        <w:rPr>
          <w:rFonts w:hint="cs"/>
          <w:rtl/>
        </w:rPr>
        <w:t>התעלמה</w:t>
      </w:r>
      <w:r>
        <w:rPr>
          <w:rFonts w:hint="cs"/>
          <w:rtl/>
        </w:rPr>
        <w:t xml:space="preserve"> מרצונו </w:t>
      </w:r>
      <w:r w:rsidR="004748D2">
        <w:rPr>
          <w:rFonts w:hint="cs"/>
          <w:rtl/>
        </w:rPr>
        <w:t>ועמדה על רצונה</w:t>
      </w:r>
      <w:r>
        <w:rPr>
          <w:rFonts w:hint="cs"/>
          <w:rtl/>
        </w:rPr>
        <w:t xml:space="preserve"> "לצאת למסיבה בכל מחיר". </w:t>
      </w:r>
      <w:r w:rsidR="00CA6031">
        <w:rPr>
          <w:rFonts w:hint="cs"/>
          <w:rtl/>
        </w:rPr>
        <w:t xml:space="preserve">משכך, </w:t>
      </w:r>
      <w:r>
        <w:rPr>
          <w:rFonts w:hint="cs"/>
          <w:rtl/>
        </w:rPr>
        <w:t xml:space="preserve">המערער טוען כי </w:t>
      </w:r>
      <w:r w:rsidR="005D7A26">
        <w:rPr>
          <w:rFonts w:hint="cs"/>
          <w:rtl/>
        </w:rPr>
        <w:t>מסקנותיו המשפטיות של</w:t>
      </w:r>
      <w:r>
        <w:rPr>
          <w:rFonts w:hint="cs"/>
          <w:rtl/>
        </w:rPr>
        <w:t xml:space="preserve"> בית המשפט המחוזי ביחס להתקיימות הנסיבות המחמירות </w:t>
      </w:r>
      <w:r w:rsidR="005D7A26">
        <w:rPr>
          <w:rFonts w:hint="cs"/>
          <w:rtl/>
        </w:rPr>
        <w:t xml:space="preserve">הקבועות בסעיף 301א(א) לחוק שגויות אף הן. </w:t>
      </w:r>
    </w:p>
    <w:p w:rsidR="00B14938" w:rsidRDefault="00B14938" w:rsidP="00B14938">
      <w:pPr>
        <w:pStyle w:val="Ruller40"/>
        <w:rPr>
          <w:rtl/>
        </w:rPr>
      </w:pPr>
    </w:p>
    <w:p w:rsidR="00793525" w:rsidRDefault="00CA6031" w:rsidP="00CA6031">
      <w:pPr>
        <w:pStyle w:val="Ruller4"/>
        <w:rPr>
          <w:rtl/>
        </w:rPr>
      </w:pPr>
      <w:r w:rsidRPr="00F77DED">
        <w:rPr>
          <w:rFonts w:ascii="Century" w:hAnsi="Century" w:cs="Miriam" w:hint="cs"/>
          <w:b/>
          <w:spacing w:val="0"/>
          <w:sz w:val="22"/>
          <w:szCs w:val="24"/>
          <w:rtl/>
        </w:rPr>
        <w:t>מנגד</w:t>
      </w:r>
      <w:r>
        <w:rPr>
          <w:rFonts w:hint="cs"/>
          <w:rtl/>
        </w:rPr>
        <w:t xml:space="preserve">, המשיבה </w:t>
      </w:r>
      <w:r w:rsidR="00333417">
        <w:rPr>
          <w:rFonts w:hint="cs"/>
          <w:rtl/>
        </w:rPr>
        <w:t>סומכת ידיה על פסק דינו המפורט והמנומק של בית המשפט המחוזי. לטענתה, אין</w:t>
      </w:r>
      <w:r>
        <w:rPr>
          <w:rFonts w:hint="cs"/>
          <w:rtl/>
        </w:rPr>
        <w:t xml:space="preserve"> כל עילה להתערבות חריגה של ערכא</w:t>
      </w:r>
      <w:r w:rsidR="00333417">
        <w:rPr>
          <w:rFonts w:hint="cs"/>
          <w:rtl/>
        </w:rPr>
        <w:t xml:space="preserve">ת הערעור בקביעותיו העובדתיות. </w:t>
      </w:r>
      <w:r w:rsidR="00CA7A5C">
        <w:rPr>
          <w:rFonts w:hint="cs"/>
          <w:rtl/>
        </w:rPr>
        <w:t>נומק, כי</w:t>
      </w:r>
      <w:r w:rsidR="002D0E47">
        <w:rPr>
          <w:rFonts w:hint="cs"/>
          <w:rtl/>
        </w:rPr>
        <w:t xml:space="preserve"> </w:t>
      </w:r>
      <w:r>
        <w:rPr>
          <w:rFonts w:hint="cs"/>
          <w:rtl/>
        </w:rPr>
        <w:t>הכרעת הדין נסמכה</w:t>
      </w:r>
      <w:r w:rsidR="00333417">
        <w:rPr>
          <w:rFonts w:hint="cs"/>
          <w:rtl/>
        </w:rPr>
        <w:t xml:space="preserve"> </w:t>
      </w:r>
      <w:r>
        <w:rPr>
          <w:rFonts w:hint="cs"/>
          <w:rtl/>
        </w:rPr>
        <w:t xml:space="preserve">על עדות אחות המערער, שבעניינה הועדפה גרסתה בחקירותיה במשטרה ובחקירתה הראשית על פני עדותה בחקירתה הנגדית, על דברי המערער עצמו, וכן על </w:t>
      </w:r>
      <w:r w:rsidR="00333417">
        <w:rPr>
          <w:rFonts w:hint="cs"/>
          <w:rtl/>
        </w:rPr>
        <w:t xml:space="preserve">עדות הקטינה, שבה ניתן אמון </w:t>
      </w:r>
      <w:r>
        <w:rPr>
          <w:rFonts w:hint="cs"/>
          <w:rtl/>
        </w:rPr>
        <w:t>מלא</w:t>
      </w:r>
      <w:r w:rsidR="008976AF">
        <w:rPr>
          <w:rFonts w:hint="cs"/>
          <w:rtl/>
        </w:rPr>
        <w:t xml:space="preserve">. </w:t>
      </w:r>
    </w:p>
    <w:p w:rsidR="008976AF" w:rsidRDefault="008976AF" w:rsidP="008976AF">
      <w:pPr>
        <w:pStyle w:val="Ruller40"/>
        <w:rPr>
          <w:rtl/>
        </w:rPr>
      </w:pPr>
    </w:p>
    <w:p w:rsidR="0099278C" w:rsidRDefault="008976AF" w:rsidP="00CA6031">
      <w:pPr>
        <w:pStyle w:val="Ruller4"/>
        <w:rPr>
          <w:rtl/>
        </w:rPr>
      </w:pPr>
      <w:r>
        <w:rPr>
          <w:rFonts w:hint="cs"/>
          <w:rtl/>
        </w:rPr>
        <w:t xml:space="preserve">לטענת המשיבה, אין ממש בטענת המערער כי יש לפסול את </w:t>
      </w:r>
      <w:r w:rsidR="00CA6031">
        <w:rPr>
          <w:rFonts w:hint="cs"/>
          <w:rtl/>
        </w:rPr>
        <w:t>אמרות אחותו ב</w:t>
      </w:r>
      <w:r>
        <w:rPr>
          <w:rFonts w:hint="cs"/>
          <w:rtl/>
        </w:rPr>
        <w:t>חקירת</w:t>
      </w:r>
      <w:r w:rsidR="00CA6031">
        <w:rPr>
          <w:rFonts w:hint="cs"/>
          <w:rtl/>
        </w:rPr>
        <w:t>ה</w:t>
      </w:r>
      <w:r>
        <w:rPr>
          <w:rFonts w:hint="cs"/>
          <w:rtl/>
        </w:rPr>
        <w:t xml:space="preserve"> במשטרה בשל פגמים שנפלו </w:t>
      </w:r>
      <w:r w:rsidR="00CA6031">
        <w:rPr>
          <w:rFonts w:hint="cs"/>
          <w:rtl/>
        </w:rPr>
        <w:t>בהתנהלות השוטרים בחקירה</w:t>
      </w:r>
      <w:r>
        <w:rPr>
          <w:rFonts w:hint="cs"/>
          <w:rtl/>
        </w:rPr>
        <w:t xml:space="preserve">. ביחס </w:t>
      </w:r>
      <w:r w:rsidR="003D41EE">
        <w:rPr>
          <w:rFonts w:hint="cs"/>
          <w:rtl/>
        </w:rPr>
        <w:t xml:space="preserve">לשימוש במילה </w:t>
      </w:r>
      <w:r>
        <w:rPr>
          <w:rFonts w:hint="cs"/>
          <w:rtl/>
        </w:rPr>
        <w:t>"</w:t>
      </w:r>
      <w:proofErr w:type="spellStart"/>
      <w:r>
        <w:rPr>
          <w:rFonts w:hint="cs"/>
          <w:rtl/>
        </w:rPr>
        <w:t>יקתלהא</w:t>
      </w:r>
      <w:proofErr w:type="spellEnd"/>
      <w:r>
        <w:rPr>
          <w:rFonts w:hint="cs"/>
          <w:rtl/>
        </w:rPr>
        <w:t xml:space="preserve">" </w:t>
      </w:r>
      <w:r>
        <w:rPr>
          <w:rtl/>
        </w:rPr>
        <w:t>–</w:t>
      </w:r>
      <w:r>
        <w:rPr>
          <w:rFonts w:hint="cs"/>
          <w:rtl/>
        </w:rPr>
        <w:t xml:space="preserve"> </w:t>
      </w:r>
      <w:r w:rsidR="00CA7A5C">
        <w:rPr>
          <w:rFonts w:hint="cs"/>
          <w:rtl/>
        </w:rPr>
        <w:t>הודגש,</w:t>
      </w:r>
      <w:r>
        <w:rPr>
          <w:rFonts w:hint="cs"/>
          <w:rtl/>
        </w:rPr>
        <w:t xml:space="preserve"> כי האחות א</w:t>
      </w:r>
      <w:r w:rsidR="00CA7A5C">
        <w:rPr>
          <w:rFonts w:hint="cs"/>
          <w:rtl/>
        </w:rPr>
        <w:t xml:space="preserve">ישרה </w:t>
      </w:r>
      <w:r w:rsidR="003D41EE">
        <w:rPr>
          <w:rFonts w:hint="cs"/>
          <w:rtl/>
        </w:rPr>
        <w:t>בעדותה בבית המשפט כי המערער עשה שימוש במילה זו</w:t>
      </w:r>
      <w:r w:rsidR="0099278C">
        <w:rPr>
          <w:rFonts w:hint="cs"/>
          <w:rtl/>
        </w:rPr>
        <w:t>.</w:t>
      </w:r>
      <w:r w:rsidR="00CA7A5C">
        <w:rPr>
          <w:rFonts w:hint="cs"/>
          <w:rtl/>
        </w:rPr>
        <w:t xml:space="preserve"> </w:t>
      </w:r>
      <w:r>
        <w:rPr>
          <w:rFonts w:hint="cs"/>
          <w:rtl/>
        </w:rPr>
        <w:t xml:space="preserve">המשיבה מוסיפה כי האחות הסבירה </w:t>
      </w:r>
      <w:r w:rsidR="00CA7A5C">
        <w:rPr>
          <w:rFonts w:hint="cs"/>
          <w:rtl/>
        </w:rPr>
        <w:t>ש</w:t>
      </w:r>
      <w:r>
        <w:rPr>
          <w:rFonts w:hint="cs"/>
          <w:rtl/>
        </w:rPr>
        <w:t xml:space="preserve">המערער עשה שימוש במילה זו גם בעימות בינה לבין המערער, </w:t>
      </w:r>
      <w:r w:rsidRPr="009176ED">
        <w:rPr>
          <w:rFonts w:hint="cs"/>
          <w:rtl/>
        </w:rPr>
        <w:t>למול עיניו, וא</w:t>
      </w:r>
      <w:r w:rsidR="002D0E47" w:rsidRPr="009176ED">
        <w:rPr>
          <w:rFonts w:hint="cs"/>
          <w:rtl/>
        </w:rPr>
        <w:t>ילו הוא לא הטיח בה כי היא משקרת</w:t>
      </w:r>
      <w:r w:rsidRPr="009176ED">
        <w:rPr>
          <w:rFonts w:hint="cs"/>
          <w:rtl/>
        </w:rPr>
        <w:t xml:space="preserve"> אלא </w:t>
      </w:r>
      <w:r w:rsidR="00CA4424" w:rsidRPr="009176ED">
        <w:rPr>
          <w:rFonts w:hint="cs"/>
          <w:rtl/>
        </w:rPr>
        <w:t>השיב כי</w:t>
      </w:r>
      <w:r w:rsidRPr="009176ED">
        <w:rPr>
          <w:rFonts w:hint="cs"/>
          <w:rtl/>
        </w:rPr>
        <w:t xml:space="preserve"> </w:t>
      </w:r>
      <w:r w:rsidR="00CA6031" w:rsidRPr="009176ED">
        <w:rPr>
          <w:rFonts w:hint="cs"/>
          <w:rtl/>
        </w:rPr>
        <w:t>"</w:t>
      </w:r>
      <w:r w:rsidRPr="009176ED">
        <w:rPr>
          <w:rFonts w:hint="cs"/>
          <w:rtl/>
        </w:rPr>
        <w:t>אין לו מה להגיד</w:t>
      </w:r>
      <w:r w:rsidR="00CA6031" w:rsidRPr="009176ED">
        <w:rPr>
          <w:rFonts w:hint="cs"/>
          <w:rtl/>
        </w:rPr>
        <w:t>"</w:t>
      </w:r>
      <w:r w:rsidRPr="009176ED">
        <w:rPr>
          <w:rFonts w:hint="cs"/>
          <w:rtl/>
        </w:rPr>
        <w:t xml:space="preserve">. </w:t>
      </w:r>
      <w:r w:rsidR="00CA6031" w:rsidRPr="009176ED">
        <w:rPr>
          <w:rFonts w:hint="cs"/>
          <w:rtl/>
        </w:rPr>
        <w:t>בנוסף, נטען על ידי</w:t>
      </w:r>
      <w:r w:rsidRPr="009176ED">
        <w:rPr>
          <w:rFonts w:hint="cs"/>
          <w:rtl/>
        </w:rPr>
        <w:t xml:space="preserve"> המשיבה כי אין כל בסיס לטענה שהופעל ל</w:t>
      </w:r>
      <w:r w:rsidR="00856618" w:rsidRPr="009176ED">
        <w:rPr>
          <w:rFonts w:hint="cs"/>
          <w:rtl/>
        </w:rPr>
        <w:t>חץ על אחות המערער</w:t>
      </w:r>
      <w:r w:rsidR="00856618">
        <w:rPr>
          <w:rFonts w:hint="cs"/>
          <w:rtl/>
        </w:rPr>
        <w:t xml:space="preserve"> על ידי חוקרי המשטרה, שכן טענה זו </w:t>
      </w:r>
      <w:r w:rsidR="00CA4424">
        <w:rPr>
          <w:rFonts w:hint="cs"/>
          <w:rtl/>
        </w:rPr>
        <w:t xml:space="preserve">כלל </w:t>
      </w:r>
      <w:r w:rsidR="00856618">
        <w:rPr>
          <w:rFonts w:hint="cs"/>
          <w:rtl/>
        </w:rPr>
        <w:t xml:space="preserve">לא הועלתה על ידי האחות, היא לא נחקרה עליה, וכך גם לא נחקרו לגביה חוקרי משטרה </w:t>
      </w:r>
      <w:r w:rsidR="00CA6031">
        <w:rPr>
          <w:rFonts w:hint="cs"/>
          <w:rtl/>
        </w:rPr>
        <w:t xml:space="preserve">במהלך </w:t>
      </w:r>
      <w:r w:rsidR="00CA6031">
        <w:rPr>
          <w:rFonts w:hint="cs"/>
          <w:rtl/>
        </w:rPr>
        <w:lastRenderedPageBreak/>
        <w:t>עדותם בבית המשפט</w:t>
      </w:r>
      <w:r w:rsidR="007A2C4F">
        <w:rPr>
          <w:rFonts w:hint="cs"/>
          <w:rtl/>
        </w:rPr>
        <w:t xml:space="preserve">. </w:t>
      </w:r>
      <w:r w:rsidR="00856618">
        <w:rPr>
          <w:rFonts w:hint="cs"/>
          <w:rtl/>
        </w:rPr>
        <w:t xml:space="preserve">מכאן, שכלל אין מקום להידרש לטענה זו. לשיטת המשיבה לא נפלו פגמים בחקירת האחות, וממילא אין הצדקה לפסול את החקירה לפי הלכת </w:t>
      </w:r>
      <w:proofErr w:type="spellStart"/>
      <w:r w:rsidR="00856618" w:rsidRPr="00A76107">
        <w:rPr>
          <w:rFonts w:ascii="Century" w:hAnsi="Century" w:cs="Miriam" w:hint="cs"/>
          <w:b/>
          <w:spacing w:val="0"/>
          <w:sz w:val="22"/>
          <w:szCs w:val="24"/>
          <w:rtl/>
        </w:rPr>
        <w:t>יששכרוב</w:t>
      </w:r>
      <w:proofErr w:type="spellEnd"/>
      <w:r w:rsidR="00856618" w:rsidRPr="00A76107">
        <w:rPr>
          <w:rFonts w:hint="cs"/>
          <w:rtl/>
        </w:rPr>
        <w:t xml:space="preserve"> </w:t>
      </w:r>
      <w:r w:rsidR="00856618">
        <w:rPr>
          <w:rFonts w:hint="cs"/>
          <w:rtl/>
        </w:rPr>
        <w:t>או</w:t>
      </w:r>
      <w:r w:rsidR="0099278C">
        <w:rPr>
          <w:rFonts w:hint="cs"/>
          <w:rtl/>
        </w:rPr>
        <w:t xml:space="preserve"> לפי סעיף 56א(א) לפקודת הראיות.</w:t>
      </w:r>
    </w:p>
    <w:p w:rsidR="0099278C" w:rsidRDefault="0099278C" w:rsidP="0099278C">
      <w:pPr>
        <w:pStyle w:val="Ruller4"/>
        <w:numPr>
          <w:ilvl w:val="0"/>
          <w:numId w:val="0"/>
        </w:numPr>
        <w:rPr>
          <w:rtl/>
        </w:rPr>
      </w:pPr>
    </w:p>
    <w:p w:rsidR="008976AF" w:rsidRDefault="0099278C" w:rsidP="00401519">
      <w:pPr>
        <w:pStyle w:val="Ruller4"/>
        <w:numPr>
          <w:ilvl w:val="0"/>
          <w:numId w:val="0"/>
        </w:numPr>
        <w:rPr>
          <w:rtl/>
        </w:rPr>
      </w:pPr>
      <w:r>
        <w:rPr>
          <w:rtl/>
        </w:rPr>
        <w:tab/>
      </w:r>
      <w:r w:rsidR="00856618">
        <w:rPr>
          <w:rFonts w:hint="cs"/>
          <w:rtl/>
        </w:rPr>
        <w:t>במענה לטענות המערער ביחס לחיפוש</w:t>
      </w:r>
      <w:r w:rsidR="00517577">
        <w:rPr>
          <w:rFonts w:hint="cs"/>
          <w:rtl/>
        </w:rPr>
        <w:t xml:space="preserve"> שלא כדין</w:t>
      </w:r>
      <w:r w:rsidR="00856618">
        <w:rPr>
          <w:rFonts w:hint="cs"/>
          <w:rtl/>
        </w:rPr>
        <w:t xml:space="preserve"> במכשיר הטלפון הנייד של </w:t>
      </w:r>
      <w:r w:rsidR="00AE3442">
        <w:rPr>
          <w:rFonts w:hint="cs"/>
          <w:rtl/>
        </w:rPr>
        <w:t>האחות</w:t>
      </w:r>
      <w:r w:rsidR="00856618">
        <w:rPr>
          <w:rFonts w:hint="cs"/>
          <w:rtl/>
        </w:rPr>
        <w:t xml:space="preserve">, </w:t>
      </w:r>
      <w:r w:rsidR="00CA4424">
        <w:rPr>
          <w:rFonts w:hint="cs"/>
          <w:rtl/>
        </w:rPr>
        <w:t xml:space="preserve">נטען </w:t>
      </w:r>
      <w:r w:rsidR="00856618">
        <w:rPr>
          <w:rFonts w:hint="cs"/>
          <w:rtl/>
        </w:rPr>
        <w:t>כי קביעות בית המשפט המחוזי נסמכות על עדות האחות, ו</w:t>
      </w:r>
      <w:r w:rsidR="00AE3442">
        <w:rPr>
          <w:rFonts w:hint="cs"/>
          <w:rtl/>
        </w:rPr>
        <w:t xml:space="preserve">כי </w:t>
      </w:r>
      <w:r w:rsidR="00856618">
        <w:rPr>
          <w:rFonts w:hint="cs"/>
          <w:rtl/>
        </w:rPr>
        <w:t xml:space="preserve">כלל לא התבקש להסתמך על ראיה שהופקה מחיפוש במכשיר, כך שטענה זו מתייתרת. </w:t>
      </w:r>
      <w:r w:rsidR="00401519">
        <w:rPr>
          <w:rFonts w:hint="cs"/>
          <w:rtl/>
        </w:rPr>
        <w:t xml:space="preserve">הודגש, </w:t>
      </w:r>
      <w:r w:rsidR="00E3032D">
        <w:rPr>
          <w:rFonts w:hint="cs"/>
          <w:rtl/>
        </w:rPr>
        <w:t>כי האחות הסכימה לחיפוש ו</w:t>
      </w:r>
      <w:r w:rsidR="00856618">
        <w:rPr>
          <w:rFonts w:hint="cs"/>
          <w:rtl/>
        </w:rPr>
        <w:t xml:space="preserve">ממילא לאחר פריקת הטלפון </w:t>
      </w:r>
      <w:r w:rsidR="00E3032D">
        <w:rPr>
          <w:rFonts w:hint="cs"/>
          <w:rtl/>
        </w:rPr>
        <w:t>עלה כי אין בו דבר המסייע לחקירה.</w:t>
      </w:r>
    </w:p>
    <w:p w:rsidR="00856618" w:rsidRDefault="00856618" w:rsidP="00856618">
      <w:pPr>
        <w:pStyle w:val="Ruller40"/>
        <w:rPr>
          <w:rtl/>
        </w:rPr>
      </w:pPr>
    </w:p>
    <w:p w:rsidR="00856618" w:rsidRDefault="00617FA1" w:rsidP="00517577">
      <w:pPr>
        <w:pStyle w:val="Ruller4"/>
        <w:rPr>
          <w:rtl/>
        </w:rPr>
      </w:pPr>
      <w:r>
        <w:rPr>
          <w:rFonts w:hint="cs"/>
          <w:rtl/>
        </w:rPr>
        <w:t>ביחס לדחיית גרסתו העובדתית של המערער באשר לאירוע ההמתה</w:t>
      </w:r>
      <w:r w:rsidR="00F7243F">
        <w:rPr>
          <w:rFonts w:hint="cs"/>
          <w:rtl/>
        </w:rPr>
        <w:t xml:space="preserve">, המשיבה מדגישה את קביעות בית המשפט המחוזי </w:t>
      </w:r>
      <w:r w:rsidR="00517577">
        <w:rPr>
          <w:rFonts w:hint="cs"/>
          <w:rtl/>
        </w:rPr>
        <w:t>בדבר</w:t>
      </w:r>
      <w:r w:rsidR="00CA4424">
        <w:rPr>
          <w:rFonts w:hint="cs"/>
          <w:rtl/>
        </w:rPr>
        <w:t xml:space="preserve"> </w:t>
      </w:r>
      <w:r w:rsidR="00F7243F">
        <w:rPr>
          <w:rFonts w:hint="cs"/>
          <w:rtl/>
        </w:rPr>
        <w:t xml:space="preserve">העדר מהימנות הגרסה והעדר אמינות המערער, ולטעמה אין מקום להתערב בקביעות אלו. </w:t>
      </w:r>
    </w:p>
    <w:p w:rsidR="00F7243F" w:rsidRDefault="00F7243F" w:rsidP="00F7243F">
      <w:pPr>
        <w:pStyle w:val="Ruller40"/>
        <w:rPr>
          <w:rtl/>
        </w:rPr>
      </w:pPr>
    </w:p>
    <w:p w:rsidR="00F7243F" w:rsidRDefault="00F7243F" w:rsidP="00DB5C46">
      <w:pPr>
        <w:pStyle w:val="Ruller4"/>
        <w:rPr>
          <w:rtl/>
        </w:rPr>
      </w:pPr>
      <w:r>
        <w:rPr>
          <w:rFonts w:hint="cs"/>
          <w:rtl/>
        </w:rPr>
        <w:t xml:space="preserve">המשיבה סבורה </w:t>
      </w:r>
      <w:r w:rsidR="000E1CFD">
        <w:rPr>
          <w:rFonts w:hint="cs"/>
          <w:rtl/>
        </w:rPr>
        <w:t xml:space="preserve">אפוא </w:t>
      </w:r>
      <w:r>
        <w:rPr>
          <w:rFonts w:hint="cs"/>
          <w:rtl/>
        </w:rPr>
        <w:t xml:space="preserve">כי </w:t>
      </w:r>
      <w:r w:rsidR="001D5642">
        <w:rPr>
          <w:rFonts w:hint="cs"/>
          <w:rtl/>
        </w:rPr>
        <w:t>בדין</w:t>
      </w:r>
      <w:r>
        <w:rPr>
          <w:rFonts w:hint="cs"/>
          <w:rtl/>
        </w:rPr>
        <w:t xml:space="preserve"> נקבע </w:t>
      </w:r>
      <w:r w:rsidR="00177C67">
        <w:rPr>
          <w:rFonts w:hint="cs"/>
          <w:rtl/>
        </w:rPr>
        <w:t>ש</w:t>
      </w:r>
      <w:r w:rsidR="005C6189">
        <w:rPr>
          <w:rFonts w:hint="cs"/>
          <w:rtl/>
        </w:rPr>
        <w:t xml:space="preserve">מתקיימים </w:t>
      </w:r>
      <w:r>
        <w:rPr>
          <w:rFonts w:hint="cs"/>
          <w:rtl/>
        </w:rPr>
        <w:t>יסודות ע</w:t>
      </w:r>
      <w:r w:rsidR="00CA4424">
        <w:rPr>
          <w:rFonts w:hint="cs"/>
          <w:rtl/>
        </w:rPr>
        <w:t>בירת הרצח בכוונה תחילה</w:t>
      </w:r>
      <w:r w:rsidR="005C6189">
        <w:rPr>
          <w:rFonts w:hint="cs"/>
          <w:rtl/>
        </w:rPr>
        <w:t xml:space="preserve"> בטרם הרפורמה בעבירות ההמתה</w:t>
      </w:r>
      <w:r w:rsidR="00CA4424">
        <w:rPr>
          <w:rFonts w:hint="cs"/>
          <w:rtl/>
        </w:rPr>
        <w:t xml:space="preserve">. </w:t>
      </w:r>
      <w:r w:rsidR="00DB5C46">
        <w:rPr>
          <w:rFonts w:hint="cs"/>
          <w:rtl/>
        </w:rPr>
        <w:t>באשר</w:t>
      </w:r>
      <w:r w:rsidR="00CA4424">
        <w:rPr>
          <w:rFonts w:hint="cs"/>
          <w:rtl/>
        </w:rPr>
        <w:t xml:space="preserve"> להשפעת הרפורמה בעבירות ההמתה </w:t>
      </w:r>
      <w:r w:rsidR="00517577">
        <w:rPr>
          <w:rFonts w:hint="cs"/>
          <w:rtl/>
        </w:rPr>
        <w:t xml:space="preserve">כיום </w:t>
      </w:r>
      <w:r w:rsidR="00CA4424">
        <w:rPr>
          <w:rtl/>
        </w:rPr>
        <w:t>–</w:t>
      </w:r>
      <w:r w:rsidR="00CA4424">
        <w:rPr>
          <w:rFonts w:hint="cs"/>
          <w:rtl/>
        </w:rPr>
        <w:t xml:space="preserve"> לשיטת המשיבה, שלוש</w:t>
      </w:r>
      <w:r>
        <w:rPr>
          <w:rFonts w:hint="cs"/>
          <w:rtl/>
        </w:rPr>
        <w:t xml:space="preserve"> הנסיבות המחמירות מתקיימות, כפי שנקבע בהכרעת הדין. כמו כן, לא מתקיימים רכיבי סעיף 301ב(ב)(1) לחוק</w:t>
      </w:r>
      <w:r w:rsidR="00CA4424">
        <w:rPr>
          <w:rFonts w:hint="cs"/>
          <w:rtl/>
        </w:rPr>
        <w:t>, ו</w:t>
      </w:r>
      <w:r w:rsidR="00BC4AAF">
        <w:rPr>
          <w:rFonts w:hint="cs"/>
          <w:rtl/>
        </w:rPr>
        <w:t xml:space="preserve">המשמעות היא שהרפורמה אינה בגדר דין מקל עם המערער, </w:t>
      </w:r>
      <w:r w:rsidR="00DB5C46">
        <w:rPr>
          <w:rFonts w:hint="cs"/>
          <w:rtl/>
        </w:rPr>
        <w:t>ומכאן</w:t>
      </w:r>
      <w:r w:rsidR="00BC4AAF">
        <w:rPr>
          <w:rFonts w:hint="cs"/>
          <w:rtl/>
        </w:rPr>
        <w:t xml:space="preserve"> </w:t>
      </w:r>
      <w:r w:rsidR="00DB5C46">
        <w:rPr>
          <w:rFonts w:hint="cs"/>
          <w:rtl/>
        </w:rPr>
        <w:t>ש</w:t>
      </w:r>
      <w:r w:rsidR="00BC4AAF">
        <w:rPr>
          <w:rFonts w:hint="cs"/>
          <w:rtl/>
        </w:rPr>
        <w:t>אין ליישמה בעניינו. מכלל טעמים אלו, נטען כי יש לדחות את הערעור</w:t>
      </w:r>
      <w:r w:rsidR="00517577">
        <w:rPr>
          <w:rFonts w:hint="cs"/>
          <w:rtl/>
        </w:rPr>
        <w:t xml:space="preserve"> על כל חלקיו</w:t>
      </w:r>
      <w:r w:rsidR="00BC4AAF">
        <w:rPr>
          <w:rFonts w:hint="cs"/>
          <w:rtl/>
        </w:rPr>
        <w:t xml:space="preserve">. </w:t>
      </w:r>
      <w:r>
        <w:rPr>
          <w:rFonts w:hint="cs"/>
          <w:rtl/>
        </w:rPr>
        <w:t xml:space="preserve"> </w:t>
      </w:r>
    </w:p>
    <w:p w:rsidR="00177C67" w:rsidRDefault="00177C67" w:rsidP="00177C67">
      <w:pPr>
        <w:pStyle w:val="Ruller40"/>
        <w:rPr>
          <w:rtl/>
        </w:rPr>
      </w:pPr>
    </w:p>
    <w:p w:rsidR="00177C67" w:rsidRPr="00177C67" w:rsidRDefault="00177C67" w:rsidP="00517577">
      <w:pPr>
        <w:pStyle w:val="Ruller4"/>
        <w:rPr>
          <w:rtl/>
        </w:rPr>
      </w:pPr>
      <w:r>
        <w:rPr>
          <w:rFonts w:hint="cs"/>
          <w:rtl/>
        </w:rPr>
        <w:t xml:space="preserve">במסגרת הדיון שלפנינו </w:t>
      </w:r>
      <w:r w:rsidR="00517577">
        <w:rPr>
          <w:rFonts w:hint="cs"/>
          <w:rtl/>
        </w:rPr>
        <w:t>שב</w:t>
      </w:r>
      <w:r w:rsidR="008F378E">
        <w:rPr>
          <w:rFonts w:hint="cs"/>
          <w:rtl/>
        </w:rPr>
        <w:t xml:space="preserve"> הסנגור על עיקר טענותיו</w:t>
      </w:r>
      <w:r w:rsidR="00517577">
        <w:rPr>
          <w:rFonts w:hint="cs"/>
          <w:rtl/>
        </w:rPr>
        <w:t xml:space="preserve"> בנימוקי הערעור בכתב, ו</w:t>
      </w:r>
      <w:r w:rsidR="008F378E">
        <w:rPr>
          <w:rFonts w:hint="cs"/>
          <w:rtl/>
        </w:rPr>
        <w:t xml:space="preserve">התמקד בטענות בדבר פגמים שנפלו לשיטתו בחקירת האחות ועל כך שלא היה מקום לקבוע כי הרפורמה אינה בגדר דין מקל עם המערער, מאחר שלא מתקיימות נסיבות מחמירות לפי סעיף 301א(א) לחוק. </w:t>
      </w:r>
      <w:r w:rsidR="00CA4424">
        <w:rPr>
          <w:rFonts w:hint="cs"/>
          <w:rtl/>
        </w:rPr>
        <w:t xml:space="preserve">באת-כוח </w:t>
      </w:r>
      <w:r w:rsidR="008F378E">
        <w:rPr>
          <w:rFonts w:hint="cs"/>
          <w:rtl/>
        </w:rPr>
        <w:t xml:space="preserve">המשיבה </w:t>
      </w:r>
      <w:r w:rsidR="00517577">
        <w:rPr>
          <w:rFonts w:hint="cs"/>
          <w:rtl/>
        </w:rPr>
        <w:t>שבה</w:t>
      </w:r>
      <w:r w:rsidR="008F378E">
        <w:rPr>
          <w:rFonts w:hint="cs"/>
          <w:rtl/>
        </w:rPr>
        <w:t xml:space="preserve"> </w:t>
      </w:r>
      <w:r w:rsidR="00517577">
        <w:rPr>
          <w:rFonts w:hint="cs"/>
          <w:rtl/>
        </w:rPr>
        <w:t>אף</w:t>
      </w:r>
      <w:r w:rsidR="00CA4424">
        <w:rPr>
          <w:rFonts w:hint="cs"/>
          <w:rtl/>
        </w:rPr>
        <w:t xml:space="preserve"> היא </w:t>
      </w:r>
      <w:r w:rsidR="008F378E">
        <w:rPr>
          <w:rFonts w:hint="cs"/>
          <w:rtl/>
        </w:rPr>
        <w:t>על טענותיה כפי שנפרשו בהר</w:t>
      </w:r>
      <w:r w:rsidR="00517577">
        <w:rPr>
          <w:rFonts w:hint="cs"/>
          <w:rtl/>
        </w:rPr>
        <w:t>ח</w:t>
      </w:r>
      <w:r w:rsidR="008F378E">
        <w:rPr>
          <w:rFonts w:hint="cs"/>
          <w:rtl/>
        </w:rPr>
        <w:t>בה ב</w:t>
      </w:r>
      <w:r w:rsidR="00517577">
        <w:rPr>
          <w:rFonts w:hint="cs"/>
          <w:rtl/>
        </w:rPr>
        <w:t>עיקרי הטיעון מטעמה ב</w:t>
      </w:r>
      <w:r w:rsidR="008F378E">
        <w:rPr>
          <w:rFonts w:hint="cs"/>
          <w:rtl/>
        </w:rPr>
        <w:t>כתב, תוך שהדגישה כי אין מקום להתערב בקביעותיו העובדתיו</w:t>
      </w:r>
      <w:r w:rsidR="00CA4424">
        <w:rPr>
          <w:rFonts w:hint="cs"/>
          <w:rtl/>
        </w:rPr>
        <w:t>ת של בית המשפט המחוזי ובמסקנות</w:t>
      </w:r>
      <w:r w:rsidR="008F378E">
        <w:rPr>
          <w:rFonts w:hint="cs"/>
          <w:rtl/>
        </w:rPr>
        <w:t xml:space="preserve"> המשפטיות הנגזרות מהן. </w:t>
      </w:r>
    </w:p>
    <w:p w:rsidR="00333417" w:rsidRPr="00333417" w:rsidRDefault="00333417" w:rsidP="00333417">
      <w:pPr>
        <w:pStyle w:val="Ruller40"/>
      </w:pPr>
    </w:p>
    <w:p w:rsidR="00DF50E1" w:rsidRPr="00C52467" w:rsidRDefault="00DF50E1" w:rsidP="00DF50E1">
      <w:pPr>
        <w:pStyle w:val="Ruller40"/>
        <w:rPr>
          <w:rFonts w:ascii="Century" w:hAnsi="Century" w:cs="Miriam"/>
          <w:b/>
          <w:spacing w:val="0"/>
          <w:szCs w:val="24"/>
          <w:rtl/>
        </w:rPr>
      </w:pPr>
      <w:r w:rsidRPr="00C52467">
        <w:rPr>
          <w:rFonts w:ascii="Century" w:hAnsi="Century" w:cs="Miriam" w:hint="cs"/>
          <w:b/>
          <w:spacing w:val="0"/>
          <w:szCs w:val="24"/>
          <w:rtl/>
        </w:rPr>
        <w:t>דיון והכרעה</w:t>
      </w:r>
    </w:p>
    <w:p w:rsidR="00DF50E1" w:rsidRDefault="00DF50E1" w:rsidP="00DF50E1">
      <w:pPr>
        <w:pStyle w:val="Ruller40"/>
        <w:rPr>
          <w:rtl/>
        </w:rPr>
      </w:pPr>
    </w:p>
    <w:p w:rsidR="00CD27E0" w:rsidRDefault="005561B0" w:rsidP="005561B0">
      <w:pPr>
        <w:pStyle w:val="Ruller4"/>
        <w:numPr>
          <w:ilvl w:val="0"/>
          <w:numId w:val="0"/>
        </w:numPr>
        <w:rPr>
          <w:rtl/>
        </w:rPr>
      </w:pPr>
      <w:r>
        <w:rPr>
          <w:rtl/>
        </w:rPr>
        <w:tab/>
      </w:r>
      <w:r w:rsidR="00517577">
        <w:rPr>
          <w:rFonts w:hint="cs"/>
          <w:rtl/>
        </w:rPr>
        <w:t xml:space="preserve">אני סבור כי </w:t>
      </w:r>
      <w:r w:rsidR="007A2C4F">
        <w:rPr>
          <w:rFonts w:hint="cs"/>
          <w:rtl/>
        </w:rPr>
        <w:t>דין הערעור להידחות</w:t>
      </w:r>
      <w:r w:rsidR="00CD27E0">
        <w:rPr>
          <w:rFonts w:hint="cs"/>
          <w:rtl/>
        </w:rPr>
        <w:t xml:space="preserve">. </w:t>
      </w:r>
    </w:p>
    <w:p w:rsidR="00CD27E0" w:rsidRDefault="00CD27E0" w:rsidP="00CD27E0">
      <w:pPr>
        <w:pStyle w:val="Ruller40"/>
        <w:rPr>
          <w:rtl/>
        </w:rPr>
      </w:pPr>
    </w:p>
    <w:p w:rsidR="00BC4AAF" w:rsidRDefault="00BC4AAF" w:rsidP="005561B0">
      <w:pPr>
        <w:pStyle w:val="Ruller4"/>
        <w:rPr>
          <w:rtl/>
        </w:rPr>
      </w:pPr>
      <w:r>
        <w:rPr>
          <w:rFonts w:hint="cs"/>
          <w:rtl/>
        </w:rPr>
        <w:t xml:space="preserve">חלק הארי של הערעור מופנה כלפי </w:t>
      </w:r>
      <w:r w:rsidR="00244771">
        <w:rPr>
          <w:rFonts w:hint="cs"/>
          <w:rtl/>
        </w:rPr>
        <w:t xml:space="preserve">קביעותיו העובדתיות של בית המשפט המחוזי. </w:t>
      </w:r>
      <w:r w:rsidR="00714178">
        <w:rPr>
          <w:rFonts w:hint="cs"/>
          <w:rtl/>
        </w:rPr>
        <w:t xml:space="preserve">אולם, </w:t>
      </w:r>
      <w:r w:rsidR="00CA4424">
        <w:rPr>
          <w:rFonts w:hint="cs"/>
          <w:rtl/>
        </w:rPr>
        <w:t>הלכה היא</w:t>
      </w:r>
      <w:r w:rsidRPr="00244771">
        <w:rPr>
          <w:rFonts w:hint="cs"/>
          <w:rtl/>
        </w:rPr>
        <w:t xml:space="preserve"> </w:t>
      </w:r>
      <w:r w:rsidR="00244771">
        <w:rPr>
          <w:rFonts w:hint="cs"/>
          <w:rtl/>
        </w:rPr>
        <w:t xml:space="preserve">כי </w:t>
      </w:r>
      <w:r w:rsidR="00244771" w:rsidRPr="00244771">
        <w:rPr>
          <w:rtl/>
        </w:rPr>
        <w:t xml:space="preserve">ערכאת הערעור אינה נוהגת להתערב בממצאי עובדה </w:t>
      </w:r>
      <w:r w:rsidR="00244771" w:rsidRPr="00244771">
        <w:rPr>
          <w:rtl/>
        </w:rPr>
        <w:lastRenderedPageBreak/>
        <w:t>ומהימנות שנקבעו על ידי הערכאה הדיונית אשר התרשמה באורח ישיר מהעדויות שהובאו בפניה ומהשתלבותן במארג הראייתי</w:t>
      </w:r>
      <w:r w:rsidR="00244771" w:rsidRPr="00244771">
        <w:rPr>
          <w:rFonts w:hint="cs"/>
          <w:rtl/>
        </w:rPr>
        <w:t xml:space="preserve"> (</w:t>
      </w:r>
      <w:r w:rsidR="008F378E">
        <w:rPr>
          <w:rFonts w:hint="cs"/>
          <w:rtl/>
        </w:rPr>
        <w:t xml:space="preserve">ראו מני רבים: </w:t>
      </w:r>
      <w:r w:rsidR="00244771" w:rsidRPr="00244771">
        <w:rPr>
          <w:rtl/>
        </w:rPr>
        <w:t>ע"פ 8030/21 </w:t>
      </w:r>
      <w:r w:rsidR="00244771" w:rsidRPr="005B6C93">
        <w:rPr>
          <w:rFonts w:ascii="Century" w:hAnsi="Century" w:cs="Miriam"/>
          <w:b/>
          <w:spacing w:val="0"/>
          <w:sz w:val="22"/>
          <w:szCs w:val="24"/>
          <w:rtl/>
        </w:rPr>
        <w:t xml:space="preserve">אבו </w:t>
      </w:r>
      <w:proofErr w:type="spellStart"/>
      <w:r w:rsidR="00244771" w:rsidRPr="005B6C93">
        <w:rPr>
          <w:rFonts w:ascii="Century" w:hAnsi="Century" w:cs="Miriam"/>
          <w:b/>
          <w:spacing w:val="0"/>
          <w:sz w:val="22"/>
          <w:szCs w:val="24"/>
          <w:rtl/>
        </w:rPr>
        <w:t>זיינב</w:t>
      </w:r>
      <w:proofErr w:type="spellEnd"/>
      <w:r w:rsidR="00244771" w:rsidRPr="005B6C93">
        <w:rPr>
          <w:rFonts w:ascii="Century" w:hAnsi="Century" w:cs="Miriam"/>
          <w:b/>
          <w:spacing w:val="0"/>
          <w:sz w:val="22"/>
          <w:szCs w:val="24"/>
          <w:rtl/>
        </w:rPr>
        <w:t xml:space="preserve"> נ' מדינת ישראל</w:t>
      </w:r>
      <w:r w:rsidR="00244771">
        <w:rPr>
          <w:rFonts w:hint="cs"/>
          <w:rtl/>
        </w:rPr>
        <w:t xml:space="preserve">, פסקה </w:t>
      </w:r>
      <w:r w:rsidR="008F378E">
        <w:rPr>
          <w:rFonts w:hint="cs"/>
          <w:rtl/>
        </w:rPr>
        <w:t>26</w:t>
      </w:r>
      <w:r w:rsidR="00244771">
        <w:rPr>
          <w:rFonts w:hint="cs"/>
          <w:rtl/>
        </w:rPr>
        <w:t xml:space="preserve"> </w:t>
      </w:r>
      <w:r w:rsidR="00244771" w:rsidRPr="00244771">
        <w:rPr>
          <w:rtl/>
        </w:rPr>
        <w:t>(25.12.2022)</w:t>
      </w:r>
      <w:r w:rsidR="003B6487">
        <w:rPr>
          <w:rFonts w:hint="cs"/>
          <w:rtl/>
        </w:rPr>
        <w:t xml:space="preserve"> (עניין </w:t>
      </w:r>
      <w:r w:rsidR="003B6487" w:rsidRPr="003B6487">
        <w:rPr>
          <w:rFonts w:ascii="Century" w:hAnsi="Century" w:cs="Miriam" w:hint="cs"/>
          <w:b/>
          <w:spacing w:val="0"/>
          <w:sz w:val="22"/>
          <w:szCs w:val="24"/>
          <w:rtl/>
        </w:rPr>
        <w:t xml:space="preserve">אבו </w:t>
      </w:r>
      <w:proofErr w:type="spellStart"/>
      <w:r w:rsidR="003B6487" w:rsidRPr="003B6487">
        <w:rPr>
          <w:rFonts w:ascii="Century" w:hAnsi="Century" w:cs="Miriam" w:hint="cs"/>
          <w:b/>
          <w:spacing w:val="0"/>
          <w:sz w:val="22"/>
          <w:szCs w:val="24"/>
          <w:rtl/>
        </w:rPr>
        <w:t>זיינב</w:t>
      </w:r>
      <w:proofErr w:type="spellEnd"/>
      <w:r w:rsidR="003B6487">
        <w:rPr>
          <w:rFonts w:hint="cs"/>
          <w:rtl/>
        </w:rPr>
        <w:t>)</w:t>
      </w:r>
      <w:r w:rsidR="008F378E">
        <w:rPr>
          <w:rFonts w:hint="cs"/>
          <w:rtl/>
        </w:rPr>
        <w:t xml:space="preserve">; </w:t>
      </w:r>
      <w:r w:rsidR="005551E8" w:rsidRPr="005551E8">
        <w:rPr>
          <w:rtl/>
        </w:rPr>
        <w:t xml:space="preserve">ע"פ 6168/20 </w:t>
      </w:r>
      <w:r w:rsidR="005551E8" w:rsidRPr="005551E8">
        <w:rPr>
          <w:rFonts w:ascii="Century" w:hAnsi="Century" w:cs="Miriam"/>
          <w:b/>
          <w:spacing w:val="0"/>
          <w:sz w:val="22"/>
          <w:szCs w:val="24"/>
          <w:rtl/>
        </w:rPr>
        <w:t xml:space="preserve">מדינת ישראל נ' </w:t>
      </w:r>
      <w:proofErr w:type="spellStart"/>
      <w:r w:rsidR="005551E8" w:rsidRPr="005551E8">
        <w:rPr>
          <w:rFonts w:ascii="Century" w:hAnsi="Century" w:cs="Miriam"/>
          <w:b/>
          <w:spacing w:val="0"/>
          <w:sz w:val="22"/>
          <w:szCs w:val="24"/>
          <w:rtl/>
        </w:rPr>
        <w:t>שמבה</w:t>
      </w:r>
      <w:proofErr w:type="spellEnd"/>
      <w:r w:rsidR="005551E8">
        <w:rPr>
          <w:rFonts w:hint="cs"/>
          <w:rtl/>
        </w:rPr>
        <w:t xml:space="preserve">, פסקה 36 </w:t>
      </w:r>
      <w:r w:rsidR="005551E8" w:rsidRPr="005551E8">
        <w:rPr>
          <w:rtl/>
        </w:rPr>
        <w:t>(</w:t>
      </w:r>
      <w:r w:rsidR="005551E8">
        <w:rPr>
          <w:rFonts w:hint="cs"/>
          <w:rtl/>
        </w:rPr>
        <w:t>9.6.2022</w:t>
      </w:r>
      <w:r w:rsidR="005551E8" w:rsidRPr="005551E8">
        <w:rPr>
          <w:rtl/>
        </w:rPr>
        <w:t>)</w:t>
      </w:r>
      <w:r w:rsidR="00244771" w:rsidRPr="005551E8">
        <w:rPr>
          <w:rFonts w:hint="cs"/>
          <w:rtl/>
        </w:rPr>
        <w:t>)</w:t>
      </w:r>
      <w:r w:rsidR="00244771" w:rsidRPr="00244771">
        <w:rPr>
          <w:rtl/>
        </w:rPr>
        <w:t>‏‏</w:t>
      </w:r>
      <w:r w:rsidR="00244771" w:rsidRPr="00244771">
        <w:rPr>
          <w:rFonts w:hint="cs"/>
          <w:rtl/>
        </w:rPr>
        <w:t>.</w:t>
      </w:r>
      <w:r w:rsidR="00244771" w:rsidRPr="005B6C93">
        <w:rPr>
          <w:rFonts w:hint="cs"/>
          <w:color w:val="000000"/>
          <w:sz w:val="27"/>
          <w:szCs w:val="27"/>
          <w:rtl/>
        </w:rPr>
        <w:t xml:space="preserve"> </w:t>
      </w:r>
      <w:r w:rsidR="00244771" w:rsidRPr="00244771">
        <w:rPr>
          <w:rFonts w:hint="cs"/>
          <w:rtl/>
        </w:rPr>
        <w:t>זאת, בין היתר מאחר ש</w:t>
      </w:r>
      <w:r w:rsidR="00244771" w:rsidRPr="00244771">
        <w:rPr>
          <w:rtl/>
        </w:rPr>
        <w:t xml:space="preserve">לערכאה הדיונית יתרון אינהרנטי להתרשם, </w:t>
      </w:r>
      <w:r w:rsidR="005561B0">
        <w:rPr>
          <w:rFonts w:hint="cs"/>
          <w:rtl/>
        </w:rPr>
        <w:t>באופן</w:t>
      </w:r>
      <w:r w:rsidR="00244771" w:rsidRPr="00244771">
        <w:rPr>
          <w:rtl/>
        </w:rPr>
        <w:t xml:space="preserve"> </w:t>
      </w:r>
      <w:r w:rsidR="005561B0">
        <w:rPr>
          <w:rtl/>
        </w:rPr>
        <w:t>ישיר</w:t>
      </w:r>
      <w:r w:rsidR="005561B0">
        <w:rPr>
          <w:rFonts w:hint="cs"/>
          <w:rtl/>
        </w:rPr>
        <w:t>,</w:t>
      </w:r>
      <w:r w:rsidR="00244771" w:rsidRPr="00244771">
        <w:rPr>
          <w:rtl/>
        </w:rPr>
        <w:t xml:space="preserve"> </w:t>
      </w:r>
      <w:r w:rsidR="005561B0">
        <w:rPr>
          <w:rFonts w:hint="cs"/>
          <w:rtl/>
        </w:rPr>
        <w:t>מ</w:t>
      </w:r>
      <w:r w:rsidR="00244771" w:rsidRPr="00244771">
        <w:rPr>
          <w:rtl/>
        </w:rPr>
        <w:t>העדים שהופיעו בפניה, מאופן מסירת עדותם, מהתנהלותם על דוכן העדים, ומשפת גופם</w:t>
      </w:r>
      <w:r w:rsidR="00244771" w:rsidRPr="00244771">
        <w:rPr>
          <w:rFonts w:hint="cs"/>
          <w:rtl/>
        </w:rPr>
        <w:t xml:space="preserve"> (</w:t>
      </w:r>
      <w:r w:rsidR="00244771" w:rsidRPr="00244771">
        <w:rPr>
          <w:rtl/>
        </w:rPr>
        <w:t>ע"פ 7388/20 </w:t>
      </w:r>
      <w:r w:rsidR="00244771" w:rsidRPr="005B6C93">
        <w:rPr>
          <w:rFonts w:ascii="Century" w:hAnsi="Century" w:cs="Miriam"/>
          <w:b/>
          <w:spacing w:val="0"/>
          <w:sz w:val="22"/>
          <w:szCs w:val="24"/>
          <w:rtl/>
        </w:rPr>
        <w:t xml:space="preserve">בן </w:t>
      </w:r>
      <w:proofErr w:type="spellStart"/>
      <w:r w:rsidR="00244771" w:rsidRPr="005B6C93">
        <w:rPr>
          <w:rFonts w:ascii="Century" w:hAnsi="Century" w:cs="Miriam"/>
          <w:b/>
          <w:spacing w:val="0"/>
          <w:sz w:val="22"/>
          <w:szCs w:val="24"/>
          <w:rtl/>
        </w:rPr>
        <w:t>אוליאל</w:t>
      </w:r>
      <w:proofErr w:type="spellEnd"/>
      <w:r w:rsidR="00244771" w:rsidRPr="005B6C93">
        <w:rPr>
          <w:rFonts w:ascii="Century" w:hAnsi="Century" w:cs="Miriam"/>
          <w:b/>
          <w:spacing w:val="0"/>
          <w:sz w:val="22"/>
          <w:szCs w:val="24"/>
          <w:rtl/>
        </w:rPr>
        <w:t xml:space="preserve"> נ' מדינת ישראל</w:t>
      </w:r>
      <w:r w:rsidR="009145AD">
        <w:rPr>
          <w:rFonts w:hint="cs"/>
          <w:rtl/>
        </w:rPr>
        <w:t xml:space="preserve">, פסקה </w:t>
      </w:r>
      <w:r w:rsidR="005551E8">
        <w:rPr>
          <w:rFonts w:hint="cs"/>
          <w:rtl/>
        </w:rPr>
        <w:t>44</w:t>
      </w:r>
      <w:r w:rsidR="009145AD">
        <w:rPr>
          <w:rFonts w:hint="cs"/>
          <w:rtl/>
        </w:rPr>
        <w:t xml:space="preserve"> </w:t>
      </w:r>
      <w:r w:rsidR="00244771" w:rsidRPr="00244771">
        <w:rPr>
          <w:rtl/>
        </w:rPr>
        <w:t>(</w:t>
      </w:r>
      <w:r w:rsidR="00244771">
        <w:rPr>
          <w:rFonts w:hint="cs"/>
          <w:rtl/>
        </w:rPr>
        <w:t>1.9.2022</w:t>
      </w:r>
      <w:r w:rsidR="00244771" w:rsidRPr="00244771">
        <w:rPr>
          <w:rtl/>
        </w:rPr>
        <w:t>)</w:t>
      </w:r>
      <w:r w:rsidR="00244771">
        <w:rPr>
          <w:rFonts w:hint="cs"/>
          <w:rtl/>
        </w:rPr>
        <w:t>).</w:t>
      </w:r>
      <w:r w:rsidR="00CA4424">
        <w:rPr>
          <w:rFonts w:hint="cs"/>
          <w:rtl/>
        </w:rPr>
        <w:t xml:space="preserve"> זו נקודת המוצא לבחינת הערעור. </w:t>
      </w:r>
      <w:r w:rsidR="00244771" w:rsidRPr="00244771">
        <w:rPr>
          <w:rtl/>
        </w:rPr>
        <w:t>‏</w:t>
      </w:r>
      <w:r w:rsidR="00244771">
        <w:rPr>
          <w:rtl/>
        </w:rPr>
        <w:t>‏</w:t>
      </w:r>
    </w:p>
    <w:p w:rsidR="00915F92" w:rsidRPr="00915F92" w:rsidRDefault="00915F92" w:rsidP="00915F92">
      <w:pPr>
        <w:pStyle w:val="Ruller40"/>
      </w:pPr>
    </w:p>
    <w:p w:rsidR="000452C8" w:rsidRDefault="00915F92" w:rsidP="005561B0">
      <w:pPr>
        <w:pStyle w:val="Ruller4"/>
      </w:pPr>
      <w:r>
        <w:rPr>
          <w:rFonts w:hint="cs"/>
          <w:rtl/>
        </w:rPr>
        <w:t xml:space="preserve">עסקינן </w:t>
      </w:r>
      <w:r w:rsidR="005561B0">
        <w:rPr>
          <w:rFonts w:hint="cs"/>
          <w:rtl/>
        </w:rPr>
        <w:t>במערער אשר גם</w:t>
      </w:r>
      <w:r w:rsidR="008A5DFB">
        <w:rPr>
          <w:rFonts w:hint="cs"/>
          <w:rtl/>
        </w:rPr>
        <w:t xml:space="preserve"> לגרסתו</w:t>
      </w:r>
      <w:r>
        <w:rPr>
          <w:rFonts w:hint="cs"/>
          <w:rtl/>
        </w:rPr>
        <w:t xml:space="preserve"> המית את רעייתו</w:t>
      </w:r>
      <w:r w:rsidR="008A5DFB">
        <w:rPr>
          <w:rFonts w:hint="cs"/>
          <w:rtl/>
        </w:rPr>
        <w:t xml:space="preserve"> במו ידיו</w:t>
      </w:r>
      <w:r w:rsidR="00077204">
        <w:rPr>
          <w:rFonts w:hint="cs"/>
          <w:rtl/>
        </w:rPr>
        <w:t>, פשוטו כמשמעו</w:t>
      </w:r>
      <w:r>
        <w:rPr>
          <w:rFonts w:hint="cs"/>
          <w:rtl/>
        </w:rPr>
        <w:t>.</w:t>
      </w:r>
      <w:r w:rsidR="00BC4AAF">
        <w:rPr>
          <w:rFonts w:hint="cs"/>
          <w:rtl/>
        </w:rPr>
        <w:t xml:space="preserve"> המערער לא </w:t>
      </w:r>
      <w:r w:rsidR="0055052F">
        <w:rPr>
          <w:rFonts w:hint="cs"/>
          <w:rtl/>
        </w:rPr>
        <w:t>הודה בכך מיד, אלא רק לאחר שהוצג</w:t>
      </w:r>
      <w:r w:rsidR="00BC4AAF">
        <w:rPr>
          <w:rFonts w:hint="cs"/>
          <w:rtl/>
        </w:rPr>
        <w:t xml:space="preserve"> לו</w:t>
      </w:r>
      <w:r>
        <w:rPr>
          <w:rFonts w:hint="cs"/>
          <w:rtl/>
        </w:rPr>
        <w:t xml:space="preserve"> </w:t>
      </w:r>
      <w:r w:rsidR="0055052F">
        <w:rPr>
          <w:rFonts w:hint="cs"/>
          <w:rtl/>
        </w:rPr>
        <w:t>סרטון מצלמת אבטחה</w:t>
      </w:r>
      <w:r w:rsidR="000452C8">
        <w:rPr>
          <w:rFonts w:hint="cs"/>
          <w:rtl/>
        </w:rPr>
        <w:t xml:space="preserve"> </w:t>
      </w:r>
      <w:r w:rsidR="005561B0">
        <w:rPr>
          <w:rFonts w:hint="cs"/>
          <w:rtl/>
        </w:rPr>
        <w:t>הסותר את גרסתו התמימה לכאורה</w:t>
      </w:r>
      <w:r w:rsidR="0048258E">
        <w:rPr>
          <w:rFonts w:hint="cs"/>
          <w:rtl/>
        </w:rPr>
        <w:t xml:space="preserve"> (ת/4</w:t>
      </w:r>
      <w:r w:rsidR="001A67D3">
        <w:rPr>
          <w:rFonts w:hint="cs"/>
          <w:rtl/>
        </w:rPr>
        <w:t>, ש' 38-34</w:t>
      </w:r>
      <w:r w:rsidR="0048258E">
        <w:rPr>
          <w:rFonts w:hint="cs"/>
          <w:rtl/>
        </w:rPr>
        <w:t>)</w:t>
      </w:r>
      <w:r w:rsidR="00BC4AAF">
        <w:rPr>
          <w:rFonts w:hint="cs"/>
          <w:rtl/>
        </w:rPr>
        <w:t xml:space="preserve">. </w:t>
      </w:r>
      <w:r w:rsidR="00991AA7">
        <w:rPr>
          <w:rFonts w:hint="cs"/>
          <w:rtl/>
        </w:rPr>
        <w:t xml:space="preserve">כמו כן, </w:t>
      </w:r>
      <w:r>
        <w:rPr>
          <w:rFonts w:hint="cs"/>
          <w:rtl/>
        </w:rPr>
        <w:t xml:space="preserve">הוצגו ראיות על </w:t>
      </w:r>
      <w:r w:rsidR="000D150A">
        <w:rPr>
          <w:rFonts w:hint="cs"/>
          <w:rtl/>
        </w:rPr>
        <w:t>מערכת היחסים העכורה בין השניים</w:t>
      </w:r>
      <w:r w:rsidR="0030748C">
        <w:rPr>
          <w:rFonts w:hint="cs"/>
          <w:rtl/>
        </w:rPr>
        <w:t xml:space="preserve">, </w:t>
      </w:r>
      <w:r w:rsidR="001947BE">
        <w:rPr>
          <w:rFonts w:hint="cs"/>
          <w:rtl/>
        </w:rPr>
        <w:t>ועל כך</w:t>
      </w:r>
      <w:r w:rsidR="0030748C">
        <w:rPr>
          <w:rFonts w:hint="cs"/>
          <w:rtl/>
        </w:rPr>
        <w:t xml:space="preserve"> </w:t>
      </w:r>
      <w:r w:rsidR="001947BE">
        <w:rPr>
          <w:rFonts w:hint="cs"/>
          <w:rtl/>
        </w:rPr>
        <w:t>ש</w:t>
      </w:r>
      <w:r w:rsidR="00327473">
        <w:rPr>
          <w:rFonts w:hint="cs"/>
          <w:rtl/>
        </w:rPr>
        <w:t>המערער</w:t>
      </w:r>
      <w:r>
        <w:rPr>
          <w:rFonts w:hint="cs"/>
          <w:rtl/>
        </w:rPr>
        <w:t xml:space="preserve"> </w:t>
      </w:r>
      <w:r w:rsidR="005561B0">
        <w:rPr>
          <w:rFonts w:hint="cs"/>
          <w:rtl/>
        </w:rPr>
        <w:t>נהג באלימות כלפי</w:t>
      </w:r>
      <w:r>
        <w:rPr>
          <w:rFonts w:hint="cs"/>
          <w:rtl/>
        </w:rPr>
        <w:t xml:space="preserve"> </w:t>
      </w:r>
      <w:r w:rsidR="001947BE">
        <w:rPr>
          <w:rFonts w:hint="cs"/>
          <w:rtl/>
        </w:rPr>
        <w:t>המנוחה בעבר מספר פעמים; הוכחו אמירות המערער</w:t>
      </w:r>
      <w:r>
        <w:rPr>
          <w:rFonts w:hint="cs"/>
          <w:rtl/>
        </w:rPr>
        <w:t xml:space="preserve"> לאחותו בימים שלפני האירוע אשר מלמדות על כוונה </w:t>
      </w:r>
      <w:r w:rsidR="005561B0">
        <w:rPr>
          <w:rFonts w:hint="cs"/>
          <w:rtl/>
        </w:rPr>
        <w:t>לפגוע</w:t>
      </w:r>
      <w:r>
        <w:rPr>
          <w:rFonts w:hint="cs"/>
          <w:rtl/>
        </w:rPr>
        <w:t xml:space="preserve"> למנוחה, אם לא </w:t>
      </w:r>
      <w:r w:rsidR="005561B0">
        <w:rPr>
          <w:rFonts w:hint="cs"/>
          <w:rtl/>
        </w:rPr>
        <w:t>לגרום למותה</w:t>
      </w:r>
      <w:r>
        <w:rPr>
          <w:rFonts w:hint="cs"/>
          <w:rtl/>
        </w:rPr>
        <w:t xml:space="preserve">; </w:t>
      </w:r>
      <w:r w:rsidR="00F55CCD">
        <w:rPr>
          <w:rFonts w:hint="cs"/>
          <w:rtl/>
        </w:rPr>
        <w:t>ו</w:t>
      </w:r>
      <w:r>
        <w:rPr>
          <w:rFonts w:hint="cs"/>
          <w:rtl/>
        </w:rPr>
        <w:t>נ</w:t>
      </w:r>
      <w:r w:rsidR="00327473">
        <w:rPr>
          <w:rFonts w:hint="cs"/>
          <w:rtl/>
        </w:rPr>
        <w:t xml:space="preserve">קבע כי זמן קצר לפני </w:t>
      </w:r>
      <w:r w:rsidR="005561B0">
        <w:rPr>
          <w:rFonts w:hint="cs"/>
          <w:rtl/>
        </w:rPr>
        <w:t xml:space="preserve">שהביא למות </w:t>
      </w:r>
      <w:r w:rsidR="000452C8">
        <w:rPr>
          <w:rFonts w:hint="cs"/>
          <w:rtl/>
        </w:rPr>
        <w:t>המנוחה</w:t>
      </w:r>
      <w:r w:rsidR="005561B0">
        <w:rPr>
          <w:rFonts w:hint="cs"/>
          <w:rtl/>
        </w:rPr>
        <w:t>,</w:t>
      </w:r>
      <w:r w:rsidR="00327473">
        <w:rPr>
          <w:rFonts w:hint="cs"/>
          <w:rtl/>
        </w:rPr>
        <w:t xml:space="preserve"> המערער התקשר, באופן חריג, ל</w:t>
      </w:r>
      <w:r w:rsidR="005561B0">
        <w:rPr>
          <w:rFonts w:hint="cs"/>
          <w:rtl/>
        </w:rPr>
        <w:t>בת ה</w:t>
      </w:r>
      <w:r w:rsidR="00327473">
        <w:rPr>
          <w:rFonts w:hint="cs"/>
          <w:rtl/>
        </w:rPr>
        <w:t xml:space="preserve">קטינה ושאל מתי היא </w:t>
      </w:r>
      <w:r w:rsidR="002D0E47">
        <w:rPr>
          <w:rFonts w:hint="cs"/>
          <w:rtl/>
        </w:rPr>
        <w:t>צפויה לשוב לבית</w:t>
      </w:r>
      <w:r w:rsidR="000452C8">
        <w:rPr>
          <w:rFonts w:hint="cs"/>
          <w:rtl/>
        </w:rPr>
        <w:t>.</w:t>
      </w:r>
    </w:p>
    <w:p w:rsidR="000452C8" w:rsidRDefault="000452C8" w:rsidP="000452C8">
      <w:pPr>
        <w:pStyle w:val="Ruller4"/>
        <w:numPr>
          <w:ilvl w:val="0"/>
          <w:numId w:val="0"/>
        </w:numPr>
        <w:rPr>
          <w:rtl/>
        </w:rPr>
      </w:pPr>
    </w:p>
    <w:p w:rsidR="00E617A7" w:rsidRDefault="000452C8" w:rsidP="00AD6711">
      <w:pPr>
        <w:pStyle w:val="Ruller4"/>
        <w:numPr>
          <w:ilvl w:val="0"/>
          <w:numId w:val="0"/>
        </w:numPr>
        <w:rPr>
          <w:rtl/>
        </w:rPr>
      </w:pPr>
      <w:r>
        <w:rPr>
          <w:rtl/>
        </w:rPr>
        <w:tab/>
      </w:r>
      <w:r w:rsidR="00F55CCD">
        <w:rPr>
          <w:rFonts w:hint="cs"/>
          <w:rtl/>
        </w:rPr>
        <w:t xml:space="preserve">לא זו אף זו: </w:t>
      </w:r>
      <w:r w:rsidR="00327473">
        <w:rPr>
          <w:rFonts w:hint="cs"/>
          <w:rtl/>
        </w:rPr>
        <w:t xml:space="preserve">לאחר </w:t>
      </w:r>
      <w:r w:rsidR="00F73375">
        <w:rPr>
          <w:rFonts w:hint="cs"/>
          <w:rtl/>
        </w:rPr>
        <w:t xml:space="preserve">שהמערער הופתע, כביכול, </w:t>
      </w:r>
      <w:r w:rsidR="00F55CCD">
        <w:rPr>
          <w:rFonts w:hint="cs"/>
          <w:rtl/>
        </w:rPr>
        <w:t>מתוצאות מעשיו</w:t>
      </w:r>
      <w:r w:rsidR="00F73375">
        <w:rPr>
          <w:rFonts w:hint="cs"/>
          <w:rtl/>
        </w:rPr>
        <w:t>, לא הזעיק טיפול רפואי</w:t>
      </w:r>
      <w:r w:rsidR="00F55CCD">
        <w:rPr>
          <w:rFonts w:hint="cs"/>
          <w:rtl/>
        </w:rPr>
        <w:t xml:space="preserve"> על מנת לסייע לרעייתו</w:t>
      </w:r>
      <w:r>
        <w:rPr>
          <w:rFonts w:hint="cs"/>
          <w:rtl/>
        </w:rPr>
        <w:t xml:space="preserve"> מחוסרת ההכרה</w:t>
      </w:r>
      <w:r w:rsidR="00F73375">
        <w:rPr>
          <w:rFonts w:hint="cs"/>
          <w:rtl/>
        </w:rPr>
        <w:t xml:space="preserve">, אלא </w:t>
      </w:r>
      <w:r w:rsidR="008F16B9">
        <w:rPr>
          <w:rFonts w:hint="cs"/>
          <w:rtl/>
        </w:rPr>
        <w:t>הידק</w:t>
      </w:r>
      <w:r>
        <w:rPr>
          <w:rFonts w:hint="cs"/>
          <w:rtl/>
        </w:rPr>
        <w:t xml:space="preserve"> חבל סביב צווארה</w:t>
      </w:r>
      <w:r w:rsidR="00D20339">
        <w:rPr>
          <w:rFonts w:hint="cs"/>
          <w:rtl/>
        </w:rPr>
        <w:t xml:space="preserve">. לטענתו </w:t>
      </w:r>
      <w:r w:rsidR="00D20339">
        <w:rPr>
          <w:rtl/>
        </w:rPr>
        <w:t>–</w:t>
      </w:r>
      <w:r w:rsidR="00D20339">
        <w:rPr>
          <w:rFonts w:hint="cs"/>
          <w:rtl/>
        </w:rPr>
        <w:t xml:space="preserve"> על מנת ליצור מצג </w:t>
      </w:r>
      <w:r w:rsidR="00714178">
        <w:rPr>
          <w:rFonts w:hint="cs"/>
          <w:rtl/>
        </w:rPr>
        <w:t xml:space="preserve">שווא </w:t>
      </w:r>
      <w:r w:rsidR="00D20339">
        <w:rPr>
          <w:rFonts w:hint="cs"/>
          <w:rtl/>
        </w:rPr>
        <w:t>לפיו התאבדה</w:t>
      </w:r>
      <w:r>
        <w:rPr>
          <w:rFonts w:hint="cs"/>
          <w:rtl/>
        </w:rPr>
        <w:t xml:space="preserve">. בכך, </w:t>
      </w:r>
      <w:r w:rsidR="00714178">
        <w:rPr>
          <w:rFonts w:hint="cs"/>
          <w:rtl/>
        </w:rPr>
        <w:t>פעל ו</w:t>
      </w:r>
      <w:r>
        <w:rPr>
          <w:rFonts w:hint="cs"/>
          <w:rtl/>
        </w:rPr>
        <w:t>השלים מעשה המתה תלת-</w:t>
      </w:r>
      <w:r w:rsidR="00371137">
        <w:rPr>
          <w:rFonts w:hint="cs"/>
          <w:rtl/>
        </w:rPr>
        <w:t>שלבי, אשר כלל חניקה באמצעות ידו</w:t>
      </w:r>
      <w:r w:rsidR="000A0469">
        <w:rPr>
          <w:rFonts w:hint="cs"/>
          <w:rtl/>
        </w:rPr>
        <w:t>, באמצעות זרועו</w:t>
      </w:r>
      <w:r>
        <w:rPr>
          <w:rFonts w:hint="cs"/>
          <w:rtl/>
        </w:rPr>
        <w:t xml:space="preserve"> ובאמצעות חבל. </w:t>
      </w:r>
      <w:r w:rsidR="00714178">
        <w:rPr>
          <w:rFonts w:hint="cs"/>
          <w:rtl/>
        </w:rPr>
        <w:t xml:space="preserve">או </w:t>
      </w:r>
      <w:r>
        <w:rPr>
          <w:rFonts w:hint="cs"/>
          <w:rtl/>
        </w:rPr>
        <w:t xml:space="preserve">אז, </w:t>
      </w:r>
      <w:r w:rsidR="005561B0">
        <w:rPr>
          <w:rFonts w:hint="cs"/>
          <w:rtl/>
        </w:rPr>
        <w:t xml:space="preserve">העמיס </w:t>
      </w:r>
      <w:r w:rsidR="005561B0">
        <w:rPr>
          <w:rtl/>
        </w:rPr>
        <w:t>–</w:t>
      </w:r>
      <w:r w:rsidR="005561B0">
        <w:rPr>
          <w:rFonts w:hint="cs"/>
          <w:rtl/>
        </w:rPr>
        <w:t xml:space="preserve"> </w:t>
      </w:r>
      <w:r w:rsidR="00077204">
        <w:rPr>
          <w:rFonts w:hint="cs"/>
          <w:rtl/>
        </w:rPr>
        <w:t xml:space="preserve">אף זאת </w:t>
      </w:r>
      <w:r w:rsidR="005561B0">
        <w:rPr>
          <w:rFonts w:hint="cs"/>
          <w:rtl/>
        </w:rPr>
        <w:t xml:space="preserve">פשוטו כמשמעו </w:t>
      </w:r>
      <w:r w:rsidR="005561B0">
        <w:rPr>
          <w:rtl/>
        </w:rPr>
        <w:t>–</w:t>
      </w:r>
      <w:r w:rsidR="005561B0">
        <w:rPr>
          <w:rFonts w:hint="cs"/>
          <w:rtl/>
        </w:rPr>
        <w:t xml:space="preserve"> </w:t>
      </w:r>
      <w:r w:rsidR="00F73375">
        <w:rPr>
          <w:rFonts w:hint="cs"/>
          <w:rtl/>
        </w:rPr>
        <w:t>את גופת</w:t>
      </w:r>
      <w:r w:rsidR="00F55CCD">
        <w:rPr>
          <w:rFonts w:hint="cs"/>
          <w:rtl/>
        </w:rPr>
        <w:t>ה</w:t>
      </w:r>
      <w:r w:rsidR="00F73375">
        <w:rPr>
          <w:rFonts w:hint="cs"/>
          <w:rtl/>
        </w:rPr>
        <w:t xml:space="preserve"> </w:t>
      </w:r>
      <w:r w:rsidR="004B2CA6">
        <w:rPr>
          <w:rFonts w:hint="cs"/>
          <w:rtl/>
        </w:rPr>
        <w:t>ברכבו</w:t>
      </w:r>
      <w:r w:rsidR="00F73375">
        <w:rPr>
          <w:rFonts w:hint="cs"/>
          <w:rtl/>
        </w:rPr>
        <w:t xml:space="preserve"> והשליכה</w:t>
      </w:r>
      <w:r w:rsidR="00327473">
        <w:rPr>
          <w:rFonts w:hint="cs"/>
          <w:rtl/>
        </w:rPr>
        <w:t xml:space="preserve"> </w:t>
      </w:r>
      <w:r w:rsidR="00F73375">
        <w:rPr>
          <w:rFonts w:hint="cs"/>
          <w:rtl/>
        </w:rPr>
        <w:t>ב</w:t>
      </w:r>
      <w:r w:rsidR="00327473">
        <w:rPr>
          <w:rFonts w:hint="cs"/>
          <w:rtl/>
        </w:rPr>
        <w:t xml:space="preserve">חורשה, </w:t>
      </w:r>
      <w:r w:rsidR="00576F5C">
        <w:rPr>
          <w:rFonts w:hint="cs"/>
          <w:rtl/>
        </w:rPr>
        <w:t>דאג ל</w:t>
      </w:r>
      <w:r w:rsidR="000A0469">
        <w:rPr>
          <w:rFonts w:hint="cs"/>
          <w:rtl/>
        </w:rPr>
        <w:t>העלים</w:t>
      </w:r>
      <w:r w:rsidR="00F73375">
        <w:rPr>
          <w:rFonts w:hint="cs"/>
          <w:rtl/>
        </w:rPr>
        <w:t xml:space="preserve"> את</w:t>
      </w:r>
      <w:r w:rsidR="00327473">
        <w:rPr>
          <w:rFonts w:hint="cs"/>
          <w:rtl/>
        </w:rPr>
        <w:t xml:space="preserve"> </w:t>
      </w:r>
      <w:r>
        <w:rPr>
          <w:rFonts w:hint="cs"/>
          <w:rtl/>
        </w:rPr>
        <w:t xml:space="preserve">מכשיר הטלפון הנייד </w:t>
      </w:r>
      <w:r w:rsidR="000A0469">
        <w:rPr>
          <w:rFonts w:hint="cs"/>
          <w:rtl/>
        </w:rPr>
        <w:t>שלה ו</w:t>
      </w:r>
      <w:r>
        <w:rPr>
          <w:rFonts w:hint="cs"/>
          <w:rtl/>
        </w:rPr>
        <w:t>משקפי הראייה שלה</w:t>
      </w:r>
      <w:r w:rsidR="00327473">
        <w:rPr>
          <w:rFonts w:hint="cs"/>
          <w:rtl/>
        </w:rPr>
        <w:t xml:space="preserve">, </w:t>
      </w:r>
      <w:r w:rsidR="00F73375">
        <w:rPr>
          <w:rFonts w:hint="cs"/>
          <w:rtl/>
        </w:rPr>
        <w:t xml:space="preserve">מסר </w:t>
      </w:r>
      <w:r w:rsidR="00327473">
        <w:rPr>
          <w:rFonts w:hint="cs"/>
          <w:rtl/>
        </w:rPr>
        <w:t xml:space="preserve">דיווח כוזב </w:t>
      </w:r>
      <w:r w:rsidR="00F73375">
        <w:rPr>
          <w:rFonts w:hint="cs"/>
          <w:rtl/>
        </w:rPr>
        <w:t xml:space="preserve">למשטרה </w:t>
      </w:r>
      <w:r w:rsidR="009030E6">
        <w:rPr>
          <w:rFonts w:hint="cs"/>
          <w:rtl/>
        </w:rPr>
        <w:t xml:space="preserve">על </w:t>
      </w:r>
      <w:r w:rsidR="00AD6711">
        <w:rPr>
          <w:rFonts w:hint="cs"/>
          <w:rtl/>
        </w:rPr>
        <w:t>היעדרה</w:t>
      </w:r>
      <w:r w:rsidR="009030E6">
        <w:rPr>
          <w:rFonts w:hint="cs"/>
          <w:rtl/>
        </w:rPr>
        <w:t xml:space="preserve"> </w:t>
      </w:r>
      <w:r w:rsidR="002F2CF5">
        <w:rPr>
          <w:rFonts w:hint="cs"/>
          <w:rtl/>
        </w:rPr>
        <w:t xml:space="preserve">שבמסגרתו אף הכחיש קיומו של סכסוך כלשהו </w:t>
      </w:r>
      <w:r w:rsidR="00991AA7">
        <w:rPr>
          <w:rFonts w:hint="cs"/>
          <w:rtl/>
        </w:rPr>
        <w:t>ביניהם</w:t>
      </w:r>
      <w:r w:rsidR="002F2CF5">
        <w:rPr>
          <w:rFonts w:hint="cs"/>
          <w:rtl/>
        </w:rPr>
        <w:t xml:space="preserve"> (ת/1)</w:t>
      </w:r>
      <w:r w:rsidR="0048258E">
        <w:rPr>
          <w:rFonts w:hint="cs"/>
          <w:rtl/>
        </w:rPr>
        <w:t xml:space="preserve"> ו</w:t>
      </w:r>
      <w:r w:rsidR="00F73375">
        <w:rPr>
          <w:rFonts w:hint="cs"/>
          <w:rtl/>
        </w:rPr>
        <w:t>שטף את</w:t>
      </w:r>
      <w:r w:rsidR="002D0E47">
        <w:rPr>
          <w:rFonts w:hint="cs"/>
          <w:rtl/>
        </w:rPr>
        <w:t xml:space="preserve"> הרכב ש</w:t>
      </w:r>
      <w:r w:rsidR="0048258E">
        <w:rPr>
          <w:rFonts w:hint="cs"/>
          <w:rtl/>
        </w:rPr>
        <w:t>בו עשה שימוש להובלת גופת המנוחה</w:t>
      </w:r>
      <w:r w:rsidR="000A0469">
        <w:rPr>
          <w:rFonts w:hint="cs"/>
          <w:rtl/>
        </w:rPr>
        <w:t xml:space="preserve"> מהבית לחורשה</w:t>
      </w:r>
      <w:r w:rsidR="00327473">
        <w:rPr>
          <w:rFonts w:hint="cs"/>
          <w:rtl/>
        </w:rPr>
        <w:t xml:space="preserve">. </w:t>
      </w:r>
    </w:p>
    <w:p w:rsidR="00327473" w:rsidRDefault="00327473" w:rsidP="00327473">
      <w:pPr>
        <w:pStyle w:val="Ruller4"/>
        <w:numPr>
          <w:ilvl w:val="0"/>
          <w:numId w:val="0"/>
        </w:numPr>
      </w:pPr>
    </w:p>
    <w:p w:rsidR="00371137" w:rsidRDefault="00327473" w:rsidP="00077204">
      <w:pPr>
        <w:pStyle w:val="Ruller4"/>
      </w:pPr>
      <w:r>
        <w:rPr>
          <w:rFonts w:hint="cs"/>
          <w:rtl/>
        </w:rPr>
        <w:t>לכל זאת יש להוסיף, כי גרסת המערער באשר לאירוע ההמתה, כשלעצמה, חסרת היגיון</w:t>
      </w:r>
      <w:r w:rsidR="0048258E">
        <w:rPr>
          <w:rFonts w:hint="cs"/>
          <w:rtl/>
        </w:rPr>
        <w:t>.</w:t>
      </w:r>
      <w:r>
        <w:rPr>
          <w:rFonts w:hint="cs"/>
          <w:rtl/>
        </w:rPr>
        <w:t xml:space="preserve"> </w:t>
      </w:r>
      <w:r w:rsidR="00D20339">
        <w:rPr>
          <w:rFonts w:hint="cs"/>
          <w:rtl/>
        </w:rPr>
        <w:t xml:space="preserve">לטענתו, רצה </w:t>
      </w:r>
      <w:r w:rsidR="001A09F3">
        <w:rPr>
          <w:rFonts w:hint="cs"/>
          <w:rtl/>
        </w:rPr>
        <w:t xml:space="preserve">להשתיק את רעייתו, </w:t>
      </w:r>
      <w:r w:rsidR="00AD6711">
        <w:rPr>
          <w:rFonts w:hint="cs"/>
          <w:rtl/>
        </w:rPr>
        <w:t>הניח</w:t>
      </w:r>
      <w:r w:rsidR="001A09F3">
        <w:rPr>
          <w:rFonts w:hint="cs"/>
          <w:rtl/>
        </w:rPr>
        <w:t xml:space="preserve"> את ידו על פיה, ואז "</w:t>
      </w:r>
      <w:r w:rsidR="001A09F3" w:rsidRPr="00371137">
        <w:rPr>
          <w:rFonts w:ascii="Century" w:hAnsi="Century" w:cs="Miriam" w:hint="cs"/>
          <w:b/>
          <w:spacing w:val="0"/>
          <w:sz w:val="22"/>
          <w:szCs w:val="24"/>
          <w:rtl/>
        </w:rPr>
        <w:t>היד הגיעה לגרון</w:t>
      </w:r>
      <w:r w:rsidR="001A09F3">
        <w:rPr>
          <w:rFonts w:hint="cs"/>
          <w:rtl/>
        </w:rPr>
        <w:t xml:space="preserve">" </w:t>
      </w:r>
      <w:r w:rsidR="00371137">
        <w:rPr>
          <w:rFonts w:hint="cs"/>
          <w:rtl/>
        </w:rPr>
        <w:t>(פרו' די</w:t>
      </w:r>
      <w:r w:rsidR="00F84251">
        <w:rPr>
          <w:rFonts w:hint="cs"/>
          <w:rtl/>
        </w:rPr>
        <w:t xml:space="preserve">ון מיום 3.3.2021, עמ' 83, </w:t>
      </w:r>
      <w:r w:rsidR="00D20339">
        <w:rPr>
          <w:rFonts w:hint="cs"/>
          <w:rtl/>
        </w:rPr>
        <w:t xml:space="preserve">ש' 12). גרסה זו </w:t>
      </w:r>
      <w:r w:rsidR="001A09F3">
        <w:rPr>
          <w:rFonts w:hint="cs"/>
          <w:rtl/>
        </w:rPr>
        <w:t>מוקשית</w:t>
      </w:r>
      <w:r w:rsidR="00077204">
        <w:rPr>
          <w:rFonts w:hint="cs"/>
          <w:rtl/>
        </w:rPr>
        <w:t>, בלשון המעטה,</w:t>
      </w:r>
      <w:r w:rsidR="001A09F3">
        <w:rPr>
          <w:rFonts w:hint="cs"/>
          <w:rtl/>
        </w:rPr>
        <w:t xml:space="preserve"> </w:t>
      </w:r>
      <w:r w:rsidR="00714178">
        <w:rPr>
          <w:rFonts w:hint="cs"/>
          <w:rtl/>
        </w:rPr>
        <w:t>מעצם טיבה וטבעה;</w:t>
      </w:r>
      <w:r w:rsidR="00D20339">
        <w:rPr>
          <w:rFonts w:hint="cs"/>
          <w:rtl/>
        </w:rPr>
        <w:t xml:space="preserve"> מוקשית עוד יותר </w:t>
      </w:r>
      <w:r w:rsidR="00714178">
        <w:rPr>
          <w:rFonts w:hint="cs"/>
          <w:rtl/>
        </w:rPr>
        <w:t>בהתחשב בכך שהיא הועלתה</w:t>
      </w:r>
      <w:r w:rsidR="008F16B9">
        <w:rPr>
          <w:rFonts w:hint="cs"/>
          <w:rtl/>
        </w:rPr>
        <w:t xml:space="preserve"> רק לאחר </w:t>
      </w:r>
      <w:r w:rsidR="00714178">
        <w:rPr>
          <w:rFonts w:hint="cs"/>
          <w:rtl/>
        </w:rPr>
        <w:t>שהוצגו למערער ראיות המסבכות אותו</w:t>
      </w:r>
      <w:r w:rsidR="00AD6711">
        <w:rPr>
          <w:rFonts w:hint="cs"/>
          <w:rtl/>
        </w:rPr>
        <w:t xml:space="preserve"> במותה</w:t>
      </w:r>
      <w:r w:rsidR="00714178">
        <w:rPr>
          <w:rFonts w:hint="cs"/>
          <w:rtl/>
        </w:rPr>
        <w:t>;</w:t>
      </w:r>
      <w:r w:rsidR="008F16B9">
        <w:rPr>
          <w:rFonts w:hint="cs"/>
          <w:rtl/>
        </w:rPr>
        <w:t xml:space="preserve"> ומוקשית פי כמה כאשר המערער נשאל מדוע לא </w:t>
      </w:r>
      <w:r w:rsidR="00AD6711">
        <w:rPr>
          <w:rFonts w:hint="cs"/>
          <w:rtl/>
        </w:rPr>
        <w:t>הרפה</w:t>
      </w:r>
      <w:r w:rsidR="008F16B9">
        <w:rPr>
          <w:rFonts w:hint="cs"/>
          <w:rtl/>
        </w:rPr>
        <w:t xml:space="preserve"> </w:t>
      </w:r>
      <w:r w:rsidR="00AD6711">
        <w:rPr>
          <w:rFonts w:hint="cs"/>
          <w:rtl/>
        </w:rPr>
        <w:t>מ</w:t>
      </w:r>
      <w:r w:rsidR="008F16B9">
        <w:rPr>
          <w:rFonts w:hint="cs"/>
          <w:rtl/>
        </w:rPr>
        <w:t xml:space="preserve">גרון </w:t>
      </w:r>
      <w:r w:rsidR="00D31B5F">
        <w:rPr>
          <w:rFonts w:hint="cs"/>
          <w:rtl/>
        </w:rPr>
        <w:t>המנוחה</w:t>
      </w:r>
      <w:r w:rsidR="00F619DC">
        <w:rPr>
          <w:rFonts w:hint="cs"/>
          <w:rtl/>
        </w:rPr>
        <w:t xml:space="preserve"> </w:t>
      </w:r>
      <w:r w:rsidR="009D6089">
        <w:rPr>
          <w:rFonts w:hint="cs"/>
          <w:rtl/>
        </w:rPr>
        <w:t>וכל שהשיב הוא שהיה</w:t>
      </w:r>
      <w:r w:rsidR="001A09F3">
        <w:rPr>
          <w:rFonts w:hint="cs"/>
          <w:rtl/>
        </w:rPr>
        <w:t xml:space="preserve"> "</w:t>
      </w:r>
      <w:r w:rsidR="001A09F3" w:rsidRPr="005B6C93">
        <w:rPr>
          <w:rFonts w:ascii="Century" w:hAnsi="Century" w:cs="Miriam" w:hint="cs"/>
          <w:b/>
          <w:spacing w:val="0"/>
          <w:sz w:val="22"/>
          <w:szCs w:val="24"/>
          <w:rtl/>
        </w:rPr>
        <w:t>בהלם</w:t>
      </w:r>
      <w:r w:rsidR="001A09F3">
        <w:rPr>
          <w:rFonts w:hint="cs"/>
          <w:rtl/>
        </w:rPr>
        <w:t>"</w:t>
      </w:r>
      <w:r w:rsidR="00371137">
        <w:rPr>
          <w:rFonts w:hint="cs"/>
          <w:rtl/>
        </w:rPr>
        <w:t xml:space="preserve"> (שם, בעמוד 83).</w:t>
      </w:r>
      <w:r w:rsidR="00C1305E">
        <w:rPr>
          <w:rFonts w:hint="cs"/>
          <w:rtl/>
        </w:rPr>
        <w:t xml:space="preserve"> לא בכדי נקבע בהכרעת הדין כי מדובר ב"גרסה כבושה ולא אמינה". </w:t>
      </w:r>
    </w:p>
    <w:p w:rsidR="00371137" w:rsidRDefault="00371137" w:rsidP="00371137">
      <w:pPr>
        <w:pStyle w:val="Ruller4"/>
        <w:numPr>
          <w:ilvl w:val="0"/>
          <w:numId w:val="0"/>
        </w:numPr>
        <w:rPr>
          <w:rtl/>
        </w:rPr>
      </w:pPr>
    </w:p>
    <w:p w:rsidR="000452C8" w:rsidRDefault="00F73375" w:rsidP="001C285E">
      <w:pPr>
        <w:pStyle w:val="Ruller4"/>
        <w:rPr>
          <w:rtl/>
        </w:rPr>
      </w:pPr>
      <w:r>
        <w:rPr>
          <w:rFonts w:hint="cs"/>
          <w:rtl/>
        </w:rPr>
        <w:lastRenderedPageBreak/>
        <w:t xml:space="preserve">זאת ועוד, </w:t>
      </w:r>
      <w:r w:rsidR="00371137">
        <w:rPr>
          <w:rFonts w:hint="cs"/>
          <w:rtl/>
        </w:rPr>
        <w:t>באופן עקבי ו</w:t>
      </w:r>
      <w:r w:rsidR="002D0E47">
        <w:rPr>
          <w:rFonts w:hint="cs"/>
          <w:rtl/>
        </w:rPr>
        <w:t xml:space="preserve">בסוגיות שבלב העניין, </w:t>
      </w:r>
      <w:r w:rsidR="0048258E">
        <w:rPr>
          <w:rFonts w:hint="cs"/>
          <w:rtl/>
        </w:rPr>
        <w:t xml:space="preserve">המערער </w:t>
      </w:r>
      <w:r w:rsidR="001C285E">
        <w:rPr>
          <w:rFonts w:hint="cs"/>
          <w:rtl/>
        </w:rPr>
        <w:t>השיב</w:t>
      </w:r>
      <w:r w:rsidR="007B4444">
        <w:rPr>
          <w:rFonts w:hint="cs"/>
          <w:rtl/>
        </w:rPr>
        <w:t xml:space="preserve"> </w:t>
      </w:r>
      <w:r w:rsidR="0048258E">
        <w:rPr>
          <w:rFonts w:hint="cs"/>
          <w:rtl/>
        </w:rPr>
        <w:t>תשובות חסרות היגיון ומתחמקות.</w:t>
      </w:r>
      <w:r w:rsidR="002D0E47">
        <w:rPr>
          <w:rFonts w:hint="cs"/>
          <w:rtl/>
        </w:rPr>
        <w:t xml:space="preserve"> </w:t>
      </w:r>
      <w:r w:rsidR="000452C8">
        <w:rPr>
          <w:rFonts w:hint="cs"/>
          <w:rtl/>
        </w:rPr>
        <w:t xml:space="preserve">כך, </w:t>
      </w:r>
      <w:r w:rsidR="007C1CAC">
        <w:rPr>
          <w:rFonts w:hint="cs"/>
          <w:rtl/>
        </w:rPr>
        <w:t xml:space="preserve">כאשר </w:t>
      </w:r>
      <w:r w:rsidR="00CA4424">
        <w:rPr>
          <w:rFonts w:hint="cs"/>
          <w:rtl/>
        </w:rPr>
        <w:t xml:space="preserve">נשאל </w:t>
      </w:r>
      <w:r w:rsidR="007C1CAC">
        <w:rPr>
          <w:rFonts w:hint="cs"/>
          <w:rtl/>
        </w:rPr>
        <w:t xml:space="preserve">מדוע נסע בשלב מסוים </w:t>
      </w:r>
      <w:r w:rsidR="00371137">
        <w:rPr>
          <w:rFonts w:hint="cs"/>
          <w:rtl/>
        </w:rPr>
        <w:t>לבית החולים על מנת לחפש כביכול</w:t>
      </w:r>
      <w:r w:rsidR="007C1CAC">
        <w:rPr>
          <w:rFonts w:hint="cs"/>
          <w:rtl/>
        </w:rPr>
        <w:t xml:space="preserve"> את המנוחה</w:t>
      </w:r>
      <w:r w:rsidR="001C285E">
        <w:rPr>
          <w:rFonts w:hint="cs"/>
          <w:rtl/>
        </w:rPr>
        <w:t xml:space="preserve"> בעוד </w:t>
      </w:r>
      <w:r w:rsidR="00371137">
        <w:rPr>
          <w:rFonts w:hint="cs"/>
          <w:rtl/>
        </w:rPr>
        <w:t xml:space="preserve">הוא יודע כי </w:t>
      </w:r>
      <w:r w:rsidR="001C285E">
        <w:rPr>
          <w:rFonts w:hint="cs"/>
          <w:rtl/>
        </w:rPr>
        <w:t>אינה עוד בחיים</w:t>
      </w:r>
      <w:r w:rsidR="007C1CAC">
        <w:rPr>
          <w:rFonts w:hint="cs"/>
          <w:rtl/>
        </w:rPr>
        <w:t>, ומדוע התקשר משם למשטרה ולקטינה, השיב: "</w:t>
      </w:r>
      <w:r w:rsidR="007C1CAC" w:rsidRPr="00371137">
        <w:rPr>
          <w:rFonts w:ascii="Century" w:hAnsi="Century" w:cs="Miriam" w:hint="cs"/>
          <w:b/>
          <w:spacing w:val="0"/>
          <w:sz w:val="22"/>
          <w:szCs w:val="24"/>
          <w:rtl/>
        </w:rPr>
        <w:t>אני לא רציתי להכניס את עצמי לתסביך</w:t>
      </w:r>
      <w:r w:rsidR="007C1CAC">
        <w:rPr>
          <w:rFonts w:hint="cs"/>
          <w:rtl/>
        </w:rPr>
        <w:t>" (פרו' דיון מיום 3.3.2021, עמ' 93, ש' 18-16)</w:t>
      </w:r>
      <w:r w:rsidR="000452C8">
        <w:rPr>
          <w:rFonts w:hint="cs"/>
          <w:rtl/>
        </w:rPr>
        <w:t xml:space="preserve">. </w:t>
      </w:r>
      <w:r w:rsidR="007C1CAC">
        <w:rPr>
          <w:rFonts w:hint="cs"/>
          <w:rtl/>
        </w:rPr>
        <w:t xml:space="preserve">תשובה דומה </w:t>
      </w:r>
      <w:r w:rsidR="001A09F3">
        <w:rPr>
          <w:rFonts w:hint="cs"/>
          <w:rtl/>
        </w:rPr>
        <w:t>מסר</w:t>
      </w:r>
      <w:r w:rsidR="007C1CAC">
        <w:rPr>
          <w:rFonts w:hint="cs"/>
          <w:rtl/>
        </w:rPr>
        <w:t xml:space="preserve"> כאשר נשאל מדוע </w:t>
      </w:r>
      <w:r w:rsidR="001A09F3">
        <w:rPr>
          <w:rFonts w:hint="cs"/>
          <w:rtl/>
        </w:rPr>
        <w:t>אמר</w:t>
      </w:r>
      <w:r w:rsidR="007C1CAC">
        <w:rPr>
          <w:rFonts w:hint="cs"/>
          <w:rtl/>
        </w:rPr>
        <w:t xml:space="preserve"> </w:t>
      </w:r>
      <w:r w:rsidR="001A09F3">
        <w:rPr>
          <w:rFonts w:hint="cs"/>
          <w:rtl/>
        </w:rPr>
        <w:t>ל</w:t>
      </w:r>
      <w:r w:rsidR="007C1CAC">
        <w:rPr>
          <w:rFonts w:hint="cs"/>
          <w:rtl/>
        </w:rPr>
        <w:t>אחותו בשיחה המוקלטת</w:t>
      </w:r>
      <w:r w:rsidR="00553097">
        <w:rPr>
          <w:rFonts w:hint="cs"/>
          <w:rtl/>
        </w:rPr>
        <w:t>, ולאחר שהמית את המנוחה,</w:t>
      </w:r>
      <w:r w:rsidR="007C1CAC">
        <w:rPr>
          <w:rFonts w:hint="cs"/>
          <w:rtl/>
        </w:rPr>
        <w:t xml:space="preserve"> </w:t>
      </w:r>
      <w:r w:rsidR="007B4444">
        <w:rPr>
          <w:rFonts w:hint="cs"/>
          <w:rtl/>
        </w:rPr>
        <w:t>להיזהר בדבריה:</w:t>
      </w:r>
    </w:p>
    <w:p w:rsidR="001A09F3" w:rsidRDefault="001A09F3" w:rsidP="001A09F3">
      <w:pPr>
        <w:pStyle w:val="Ruller40"/>
        <w:rPr>
          <w:rtl/>
        </w:rPr>
      </w:pPr>
    </w:p>
    <w:p w:rsidR="001A09F3" w:rsidRPr="001A09F3" w:rsidRDefault="001A09F3" w:rsidP="00B533A5">
      <w:pPr>
        <w:pStyle w:val="Ruller5"/>
        <w:rPr>
          <w:rtl/>
        </w:rPr>
      </w:pPr>
      <w:r w:rsidRPr="001A09F3">
        <w:rPr>
          <w:rtl/>
        </w:rPr>
        <w:t xml:space="preserve">ש. </w:t>
      </w:r>
      <w:r w:rsidRPr="001A09F3">
        <w:rPr>
          <w:rtl/>
        </w:rPr>
        <w:tab/>
      </w:r>
      <w:r w:rsidR="00B533A5">
        <w:rPr>
          <w:rFonts w:hint="cs"/>
          <w:rtl/>
        </w:rPr>
        <w:t xml:space="preserve">[...] </w:t>
      </w:r>
      <w:r w:rsidRPr="001A09F3">
        <w:rPr>
          <w:rtl/>
        </w:rPr>
        <w:t xml:space="preserve">כשהיא שאלה אותך בשיחה מה עם </w:t>
      </w:r>
      <w:proofErr w:type="spellStart"/>
      <w:r w:rsidRPr="001A09F3">
        <w:rPr>
          <w:rtl/>
        </w:rPr>
        <w:t>איאד</w:t>
      </w:r>
      <w:proofErr w:type="spellEnd"/>
      <w:r w:rsidRPr="001A09F3">
        <w:rPr>
          <w:rtl/>
        </w:rPr>
        <w:t xml:space="preserve">, התחלת להשתולל וזו הסיבה שאמרת לה </w:t>
      </w:r>
      <w:proofErr w:type="spellStart"/>
      <w:r w:rsidRPr="001A09F3">
        <w:rPr>
          <w:rtl/>
        </w:rPr>
        <w:t>הכל</w:t>
      </w:r>
      <w:proofErr w:type="spellEnd"/>
      <w:r w:rsidRPr="001A09F3">
        <w:rPr>
          <w:rtl/>
        </w:rPr>
        <w:t xml:space="preserve"> מוקלט, תזהרי. מה אתה אומר. </w:t>
      </w:r>
    </w:p>
    <w:p w:rsidR="001A09F3" w:rsidRPr="001A09F3" w:rsidRDefault="001A09F3" w:rsidP="001A09F3">
      <w:pPr>
        <w:pStyle w:val="Ruller5"/>
        <w:rPr>
          <w:rtl/>
        </w:rPr>
      </w:pPr>
      <w:r w:rsidRPr="001A09F3">
        <w:rPr>
          <w:rtl/>
        </w:rPr>
        <w:t xml:space="preserve">ת. </w:t>
      </w:r>
      <w:r w:rsidRPr="001A09F3">
        <w:rPr>
          <w:rtl/>
        </w:rPr>
        <w:tab/>
        <w:t xml:space="preserve">היא רוצה להתגרש וגם אני רציתי להתגרש. </w:t>
      </w:r>
    </w:p>
    <w:p w:rsidR="001A09F3" w:rsidRPr="001A09F3" w:rsidRDefault="001A09F3" w:rsidP="001A09F3">
      <w:pPr>
        <w:pStyle w:val="Ruller5"/>
        <w:rPr>
          <w:rtl/>
        </w:rPr>
      </w:pPr>
      <w:r w:rsidRPr="001A09F3">
        <w:rPr>
          <w:rtl/>
        </w:rPr>
        <w:t xml:space="preserve">ש. </w:t>
      </w:r>
      <w:r w:rsidRPr="001A09F3">
        <w:rPr>
          <w:rtl/>
        </w:rPr>
        <w:tab/>
        <w:t xml:space="preserve">אז למה צריך להזהיר אותך שהשיחה מוקלטת. </w:t>
      </w:r>
    </w:p>
    <w:p w:rsidR="001A09F3" w:rsidRPr="001A09F3" w:rsidRDefault="001A09F3" w:rsidP="001A09F3">
      <w:pPr>
        <w:pStyle w:val="Ruller5"/>
        <w:rPr>
          <w:rtl/>
        </w:rPr>
      </w:pPr>
      <w:r w:rsidRPr="001A09F3">
        <w:rPr>
          <w:rtl/>
        </w:rPr>
        <w:t xml:space="preserve">ת. </w:t>
      </w:r>
      <w:r w:rsidRPr="001A09F3">
        <w:rPr>
          <w:rtl/>
        </w:rPr>
        <w:tab/>
        <w:t xml:space="preserve">שהיא לא תיכנס לתסביך. </w:t>
      </w:r>
    </w:p>
    <w:p w:rsidR="001A09F3" w:rsidRPr="001A09F3" w:rsidRDefault="001A09F3" w:rsidP="001A09F3">
      <w:pPr>
        <w:pStyle w:val="Ruller5"/>
        <w:rPr>
          <w:rtl/>
        </w:rPr>
      </w:pPr>
      <w:r w:rsidRPr="001A09F3">
        <w:rPr>
          <w:rtl/>
        </w:rPr>
        <w:t xml:space="preserve">ש. </w:t>
      </w:r>
      <w:r w:rsidRPr="001A09F3">
        <w:rPr>
          <w:rtl/>
        </w:rPr>
        <w:tab/>
        <w:t>איזה תסביך היא יכולה להיכנס אם היא אומרת שהיא רוצה להתגרש?</w:t>
      </w:r>
    </w:p>
    <w:p w:rsidR="001A09F3" w:rsidRPr="001A09F3" w:rsidRDefault="001A09F3" w:rsidP="00F83E76">
      <w:pPr>
        <w:pStyle w:val="Ruller5"/>
      </w:pPr>
      <w:r w:rsidRPr="001A09F3">
        <w:rPr>
          <w:rtl/>
        </w:rPr>
        <w:t xml:space="preserve">ת. </w:t>
      </w:r>
      <w:r w:rsidRPr="001A09F3">
        <w:rPr>
          <w:rtl/>
        </w:rPr>
        <w:tab/>
        <w:t>(העד חושב) – לא יודע</w:t>
      </w:r>
      <w:r>
        <w:rPr>
          <w:rFonts w:hint="cs"/>
          <w:rtl/>
        </w:rPr>
        <w:t xml:space="preserve"> (שם, בעמוד 103, ש' </w:t>
      </w:r>
      <w:r w:rsidR="00F83E76">
        <w:rPr>
          <w:rFonts w:hint="cs"/>
          <w:rtl/>
        </w:rPr>
        <w:t>6</w:t>
      </w:r>
      <w:r>
        <w:rPr>
          <w:rFonts w:hint="cs"/>
          <w:rtl/>
        </w:rPr>
        <w:t>-</w:t>
      </w:r>
      <w:r w:rsidR="00F83E76">
        <w:rPr>
          <w:rFonts w:hint="cs"/>
          <w:rtl/>
        </w:rPr>
        <w:t>14</w:t>
      </w:r>
      <w:r>
        <w:rPr>
          <w:rFonts w:hint="cs"/>
          <w:rtl/>
        </w:rPr>
        <w:t>)</w:t>
      </w:r>
      <w:r>
        <w:rPr>
          <w:rtl/>
        </w:rPr>
        <w:t xml:space="preserve">. </w:t>
      </w:r>
    </w:p>
    <w:p w:rsidR="000452C8" w:rsidRDefault="000452C8" w:rsidP="000452C8">
      <w:pPr>
        <w:pStyle w:val="Ruller4"/>
        <w:numPr>
          <w:ilvl w:val="0"/>
          <w:numId w:val="0"/>
        </w:numPr>
        <w:rPr>
          <w:rtl/>
        </w:rPr>
      </w:pPr>
    </w:p>
    <w:p w:rsidR="00371137" w:rsidRDefault="001A09F3" w:rsidP="00506D40">
      <w:pPr>
        <w:pStyle w:val="Ruller4"/>
        <w:rPr>
          <w:rtl/>
        </w:rPr>
      </w:pPr>
      <w:r>
        <w:rPr>
          <w:rFonts w:hint="cs"/>
          <w:rtl/>
        </w:rPr>
        <w:t xml:space="preserve">המערער </w:t>
      </w:r>
      <w:r w:rsidR="00371137">
        <w:rPr>
          <w:rFonts w:hint="cs"/>
          <w:rtl/>
        </w:rPr>
        <w:t xml:space="preserve">אף </w:t>
      </w:r>
      <w:r>
        <w:rPr>
          <w:rFonts w:hint="cs"/>
          <w:rtl/>
        </w:rPr>
        <w:t xml:space="preserve">לא ידע לספק תשובה הגיונית לכך שלא הזעיק עזרה רפואית לרעייתו, בעוד </w:t>
      </w:r>
      <w:r w:rsidR="00506D40">
        <w:rPr>
          <w:rFonts w:hint="cs"/>
          <w:rtl/>
        </w:rPr>
        <w:t>של</w:t>
      </w:r>
      <w:r>
        <w:rPr>
          <w:rFonts w:hint="cs"/>
          <w:rtl/>
        </w:rPr>
        <w:t>גרסתו לא התכוון להסב לה כל נזק</w:t>
      </w:r>
      <w:r w:rsidR="00150029">
        <w:rPr>
          <w:rFonts w:hint="cs"/>
          <w:rtl/>
        </w:rPr>
        <w:t xml:space="preserve"> </w:t>
      </w:r>
      <w:r>
        <w:rPr>
          <w:rFonts w:hint="cs"/>
          <w:rtl/>
        </w:rPr>
        <w:t>(שם, בעמוד 91, ש' 29-22)</w:t>
      </w:r>
      <w:r w:rsidR="00714178">
        <w:rPr>
          <w:rFonts w:hint="cs"/>
          <w:rtl/>
        </w:rPr>
        <w:t xml:space="preserve">. בהקשר זה, טענת </w:t>
      </w:r>
      <w:r w:rsidR="00710F23">
        <w:rPr>
          <w:rFonts w:hint="cs"/>
          <w:rtl/>
        </w:rPr>
        <w:t>הסנגור</w:t>
      </w:r>
      <w:r w:rsidR="00714178">
        <w:rPr>
          <w:rFonts w:hint="cs"/>
          <w:rtl/>
        </w:rPr>
        <w:t xml:space="preserve"> כי </w:t>
      </w:r>
      <w:r w:rsidR="00710F23">
        <w:rPr>
          <w:rFonts w:hint="cs"/>
          <w:rtl/>
        </w:rPr>
        <w:t>היה ברור למערער שעזרה לא תועיל ולכן אין לזקוף את התנהלותו זו לחובתו, מהווה במידה רבה "מקצה שיפורים" ביחס לתשובות שמסר בעדותו בבית המשפט</w:t>
      </w:r>
      <w:r w:rsidR="00490CFA">
        <w:rPr>
          <w:rFonts w:hint="cs"/>
          <w:rtl/>
        </w:rPr>
        <w:t xml:space="preserve">. </w:t>
      </w:r>
      <w:r w:rsidR="00710F23">
        <w:rPr>
          <w:rFonts w:hint="cs"/>
          <w:rtl/>
        </w:rPr>
        <w:t>מכאן</w:t>
      </w:r>
      <w:r w:rsidR="00490CFA">
        <w:rPr>
          <w:rFonts w:hint="cs"/>
          <w:rtl/>
        </w:rPr>
        <w:t>,</w:t>
      </w:r>
      <w:r w:rsidR="00710F23">
        <w:rPr>
          <w:rFonts w:hint="cs"/>
          <w:rtl/>
        </w:rPr>
        <w:t xml:space="preserve"> שאין להקנות </w:t>
      </w:r>
      <w:r w:rsidR="00AE3442">
        <w:rPr>
          <w:rFonts w:hint="cs"/>
          <w:rtl/>
        </w:rPr>
        <w:t xml:space="preserve">לה </w:t>
      </w:r>
      <w:r w:rsidR="00490CFA">
        <w:rPr>
          <w:rFonts w:hint="cs"/>
          <w:rtl/>
        </w:rPr>
        <w:t>משקל ראייתי</w:t>
      </w:r>
      <w:r w:rsidR="00CA4424">
        <w:rPr>
          <w:rFonts w:hint="cs"/>
          <w:rtl/>
        </w:rPr>
        <w:t xml:space="preserve"> כלשהו</w:t>
      </w:r>
      <w:r w:rsidR="00710F23">
        <w:rPr>
          <w:rFonts w:hint="cs"/>
          <w:rtl/>
        </w:rPr>
        <w:t xml:space="preserve">. </w:t>
      </w:r>
    </w:p>
    <w:p w:rsidR="00AA4DFD" w:rsidRPr="00AA4DFD" w:rsidRDefault="00AA4DFD" w:rsidP="00AA4DFD">
      <w:pPr>
        <w:pStyle w:val="Ruller40"/>
        <w:rPr>
          <w:rtl/>
        </w:rPr>
      </w:pPr>
    </w:p>
    <w:p w:rsidR="00D76DC8" w:rsidRDefault="00371137" w:rsidP="00710F23">
      <w:pPr>
        <w:pStyle w:val="Ruller4"/>
      </w:pPr>
      <w:r>
        <w:rPr>
          <w:rFonts w:hint="cs"/>
          <w:rtl/>
        </w:rPr>
        <w:t>ת</w:t>
      </w:r>
      <w:r w:rsidR="00F13C15">
        <w:rPr>
          <w:rFonts w:hint="cs"/>
          <w:rtl/>
        </w:rPr>
        <w:t xml:space="preserve">שובות אלו של המערער </w:t>
      </w:r>
      <w:r w:rsidR="005B6C93">
        <w:rPr>
          <w:rFonts w:hint="cs"/>
          <w:rtl/>
        </w:rPr>
        <w:t xml:space="preserve">בשילוב עם הראיות הנוספות, </w:t>
      </w:r>
      <w:r>
        <w:rPr>
          <w:rFonts w:hint="cs"/>
          <w:rtl/>
        </w:rPr>
        <w:t>הובילו</w:t>
      </w:r>
      <w:r w:rsidR="005B6C93">
        <w:rPr>
          <w:rFonts w:hint="cs"/>
          <w:rtl/>
        </w:rPr>
        <w:t xml:space="preserve"> </w:t>
      </w:r>
      <w:r>
        <w:rPr>
          <w:rFonts w:hint="cs"/>
          <w:rtl/>
        </w:rPr>
        <w:t xml:space="preserve">לקביעת </w:t>
      </w:r>
      <w:r w:rsidR="00710F23">
        <w:rPr>
          <w:rFonts w:hint="cs"/>
          <w:rtl/>
        </w:rPr>
        <w:t>ה</w:t>
      </w:r>
      <w:r>
        <w:rPr>
          <w:rFonts w:hint="cs"/>
          <w:rtl/>
        </w:rPr>
        <w:t xml:space="preserve">ממצאים </w:t>
      </w:r>
      <w:r w:rsidR="00710F23">
        <w:rPr>
          <w:rFonts w:hint="cs"/>
          <w:rtl/>
        </w:rPr>
        <w:t>ה</w:t>
      </w:r>
      <w:r>
        <w:rPr>
          <w:rFonts w:hint="cs"/>
          <w:rtl/>
        </w:rPr>
        <w:t xml:space="preserve">עובדתיים </w:t>
      </w:r>
      <w:r w:rsidR="00710F23">
        <w:rPr>
          <w:rFonts w:hint="cs"/>
          <w:rtl/>
        </w:rPr>
        <w:t>שבבסיס הרשעתו</w:t>
      </w:r>
      <w:r>
        <w:rPr>
          <w:rFonts w:hint="cs"/>
          <w:rtl/>
        </w:rPr>
        <w:t>.</w:t>
      </w:r>
      <w:r w:rsidR="005B6C93">
        <w:rPr>
          <w:rFonts w:hint="cs"/>
          <w:rtl/>
        </w:rPr>
        <w:t xml:space="preserve"> </w:t>
      </w:r>
      <w:r w:rsidR="00553097">
        <w:rPr>
          <w:rFonts w:hint="cs"/>
          <w:rtl/>
        </w:rPr>
        <w:t xml:space="preserve">כעת, המערער </w:t>
      </w:r>
      <w:r w:rsidR="00F13C15">
        <w:rPr>
          <w:rFonts w:hint="cs"/>
          <w:rtl/>
        </w:rPr>
        <w:t>חפץ</w:t>
      </w:r>
      <w:r w:rsidR="00553097">
        <w:rPr>
          <w:rFonts w:hint="cs"/>
          <w:rtl/>
        </w:rPr>
        <w:t xml:space="preserve"> לכרסם ב</w:t>
      </w:r>
      <w:r w:rsidR="00710F23">
        <w:rPr>
          <w:rFonts w:hint="cs"/>
          <w:rtl/>
        </w:rPr>
        <w:t>תשתית ה</w:t>
      </w:r>
      <w:r w:rsidR="00F13C15">
        <w:rPr>
          <w:rFonts w:hint="cs"/>
          <w:rtl/>
        </w:rPr>
        <w:t xml:space="preserve">ראייתית </w:t>
      </w:r>
      <w:r w:rsidR="00710F23">
        <w:rPr>
          <w:rFonts w:hint="cs"/>
          <w:rtl/>
        </w:rPr>
        <w:t xml:space="preserve">שנקבעה, כאשר </w:t>
      </w:r>
      <w:r w:rsidR="00553097">
        <w:rPr>
          <w:rFonts w:hint="cs"/>
          <w:rtl/>
        </w:rPr>
        <w:t xml:space="preserve">טענותיו </w:t>
      </w:r>
      <w:r w:rsidR="000A1B00">
        <w:rPr>
          <w:rFonts w:hint="cs"/>
          <w:rtl/>
        </w:rPr>
        <w:t>בהקשר</w:t>
      </w:r>
      <w:r w:rsidR="00553097">
        <w:rPr>
          <w:rFonts w:hint="cs"/>
          <w:rtl/>
        </w:rPr>
        <w:t xml:space="preserve"> </w:t>
      </w:r>
      <w:r w:rsidR="0054667D">
        <w:rPr>
          <w:rFonts w:hint="cs"/>
          <w:rtl/>
        </w:rPr>
        <w:t>זה מתמקדות בעדות אחותו, קבילותה</w:t>
      </w:r>
      <w:r w:rsidR="00553097">
        <w:rPr>
          <w:rFonts w:hint="cs"/>
          <w:rtl/>
        </w:rPr>
        <w:t xml:space="preserve"> והמשקל שניתן לה; </w:t>
      </w:r>
      <w:r w:rsidR="00435955">
        <w:rPr>
          <w:rFonts w:hint="cs"/>
          <w:rtl/>
        </w:rPr>
        <w:t xml:space="preserve">ובקביעות בית המשפט </w:t>
      </w:r>
      <w:r w:rsidR="000A1B00">
        <w:rPr>
          <w:rFonts w:hint="cs"/>
          <w:rtl/>
        </w:rPr>
        <w:t>המחוזי</w:t>
      </w:r>
      <w:r w:rsidR="00435955">
        <w:rPr>
          <w:rFonts w:hint="cs"/>
          <w:rtl/>
        </w:rPr>
        <w:t xml:space="preserve"> ביחס לשיחה המקדימה. לטענות אלו אדרש כעת. </w:t>
      </w:r>
    </w:p>
    <w:p w:rsidR="00D76DC8" w:rsidRDefault="00D76DC8" w:rsidP="00D76DC8">
      <w:pPr>
        <w:pStyle w:val="Ruller4"/>
        <w:numPr>
          <w:ilvl w:val="0"/>
          <w:numId w:val="0"/>
        </w:numPr>
        <w:rPr>
          <w:rtl/>
        </w:rPr>
      </w:pPr>
    </w:p>
    <w:p w:rsidR="00D76DC8" w:rsidRDefault="00D76DC8" w:rsidP="00D76DC8">
      <w:pPr>
        <w:pStyle w:val="Ruller4"/>
        <w:numPr>
          <w:ilvl w:val="0"/>
          <w:numId w:val="0"/>
        </w:numPr>
        <w:rPr>
          <w:rFonts w:ascii="Century" w:hAnsi="Century" w:cs="Miriam"/>
          <w:b/>
          <w:spacing w:val="0"/>
          <w:sz w:val="22"/>
          <w:szCs w:val="24"/>
          <w:rtl/>
        </w:rPr>
      </w:pPr>
      <w:r w:rsidRPr="00D76DC8">
        <w:rPr>
          <w:rFonts w:ascii="Century" w:hAnsi="Century" w:cs="Miriam" w:hint="cs"/>
          <w:b/>
          <w:spacing w:val="0"/>
          <w:sz w:val="22"/>
          <w:szCs w:val="24"/>
          <w:rtl/>
        </w:rPr>
        <w:t xml:space="preserve">עדות </w:t>
      </w:r>
      <w:r>
        <w:rPr>
          <w:rFonts w:ascii="Century" w:hAnsi="Century" w:cs="Miriam" w:hint="cs"/>
          <w:b/>
          <w:spacing w:val="0"/>
          <w:sz w:val="22"/>
          <w:szCs w:val="24"/>
          <w:rtl/>
        </w:rPr>
        <w:t xml:space="preserve">האחות </w:t>
      </w:r>
      <w:r>
        <w:rPr>
          <w:rFonts w:ascii="Century" w:hAnsi="Century" w:cs="Miriam"/>
          <w:b/>
          <w:spacing w:val="0"/>
          <w:sz w:val="22"/>
          <w:szCs w:val="24"/>
          <w:rtl/>
        </w:rPr>
        <w:t>–</w:t>
      </w:r>
      <w:r>
        <w:rPr>
          <w:rFonts w:ascii="Century" w:hAnsi="Century" w:cs="Miriam" w:hint="cs"/>
          <w:b/>
          <w:spacing w:val="0"/>
          <w:sz w:val="22"/>
          <w:szCs w:val="24"/>
          <w:rtl/>
        </w:rPr>
        <w:t xml:space="preserve"> קבילותה ומשקלה</w:t>
      </w:r>
    </w:p>
    <w:p w:rsidR="00AC529E" w:rsidRDefault="00AC529E" w:rsidP="00AC529E">
      <w:pPr>
        <w:pStyle w:val="Ruller40"/>
        <w:rPr>
          <w:rtl/>
        </w:rPr>
      </w:pPr>
    </w:p>
    <w:p w:rsidR="0049605B" w:rsidRDefault="00553097" w:rsidP="00FB6D30">
      <w:pPr>
        <w:pStyle w:val="Ruller4"/>
        <w:rPr>
          <w:rtl/>
        </w:rPr>
      </w:pPr>
      <w:r>
        <w:rPr>
          <w:rFonts w:hint="cs"/>
          <w:rtl/>
        </w:rPr>
        <w:t>בעוד ש</w:t>
      </w:r>
      <w:r w:rsidR="0049605B">
        <w:rPr>
          <w:rFonts w:hint="cs"/>
          <w:rtl/>
        </w:rPr>
        <w:t>איני מוצא ממש בטענות המערער ביחס לממצאיו</w:t>
      </w:r>
      <w:r>
        <w:rPr>
          <w:rFonts w:hint="cs"/>
          <w:rtl/>
        </w:rPr>
        <w:t xml:space="preserve"> העובדתיים של בית המשפט המחוזי</w:t>
      </w:r>
      <w:r w:rsidR="000A0469">
        <w:rPr>
          <w:rFonts w:hint="cs"/>
          <w:rtl/>
        </w:rPr>
        <w:t>,</w:t>
      </w:r>
      <w:r>
        <w:rPr>
          <w:rFonts w:hint="cs"/>
          <w:rtl/>
        </w:rPr>
        <w:t xml:space="preserve"> </w:t>
      </w:r>
      <w:r w:rsidR="00C3010E">
        <w:rPr>
          <w:rFonts w:hint="cs"/>
          <w:rtl/>
        </w:rPr>
        <w:t>יש מקום להרחיב בבחינת טענת המערער ביחס לקבילות עדות האחות.</w:t>
      </w:r>
      <w:r w:rsidR="0049605B">
        <w:rPr>
          <w:rFonts w:hint="cs"/>
          <w:rtl/>
        </w:rPr>
        <w:t xml:space="preserve"> </w:t>
      </w:r>
      <w:r w:rsidR="000A0469">
        <w:rPr>
          <w:rFonts w:hint="cs"/>
          <w:rtl/>
        </w:rPr>
        <w:t xml:space="preserve">טענה אשר הועלתה לפני בית המשפט המחוזי, אולם לא הוכרעה. </w:t>
      </w:r>
    </w:p>
    <w:p w:rsidR="00C3010E" w:rsidRDefault="00C3010E" w:rsidP="00C3010E">
      <w:pPr>
        <w:pStyle w:val="Ruller40"/>
        <w:rPr>
          <w:rtl/>
        </w:rPr>
      </w:pPr>
    </w:p>
    <w:p w:rsidR="0099278C" w:rsidRDefault="002F4601" w:rsidP="00BE00ED">
      <w:pPr>
        <w:pStyle w:val="Ruller4"/>
      </w:pPr>
      <w:r>
        <w:rPr>
          <w:rFonts w:hint="cs"/>
          <w:rtl/>
        </w:rPr>
        <w:t xml:space="preserve">בפסיקה </w:t>
      </w:r>
      <w:r w:rsidR="00FB6D30">
        <w:rPr>
          <w:rFonts w:hint="cs"/>
          <w:rtl/>
        </w:rPr>
        <w:t xml:space="preserve">הוכרה </w:t>
      </w:r>
      <w:r>
        <w:rPr>
          <w:rFonts w:hint="cs"/>
          <w:rtl/>
        </w:rPr>
        <w:t xml:space="preserve">האפשרות להחיל את דוקטרינת הפסילה הפסיקתית </w:t>
      </w:r>
      <w:r w:rsidR="00BE00ED">
        <w:rPr>
          <w:rFonts w:hint="cs"/>
          <w:rtl/>
        </w:rPr>
        <w:t>במקרים</w:t>
      </w:r>
      <w:r>
        <w:rPr>
          <w:rFonts w:hint="cs"/>
          <w:rtl/>
        </w:rPr>
        <w:t xml:space="preserve"> שבהם הופעל אמצעי פסול כלפי </w:t>
      </w:r>
      <w:r w:rsidRPr="00FB6D30">
        <w:rPr>
          <w:rFonts w:ascii="Century" w:hAnsi="Century" w:cs="Miriam" w:hint="cs"/>
          <w:b/>
          <w:spacing w:val="0"/>
          <w:sz w:val="22"/>
          <w:szCs w:val="24"/>
          <w:rtl/>
        </w:rPr>
        <w:t>עד</w:t>
      </w:r>
      <w:r>
        <w:rPr>
          <w:rFonts w:hint="cs"/>
          <w:rtl/>
        </w:rPr>
        <w:t xml:space="preserve">, ולא כלפי הנאשם עצמו. </w:t>
      </w:r>
      <w:r w:rsidR="0077792B">
        <w:rPr>
          <w:rFonts w:hint="cs"/>
          <w:rtl/>
        </w:rPr>
        <w:t xml:space="preserve">עם זאת, נשמעו </w:t>
      </w:r>
      <w:r w:rsidR="00AA4DFD">
        <w:rPr>
          <w:rFonts w:hint="cs"/>
          <w:rtl/>
        </w:rPr>
        <w:t xml:space="preserve">במהלך </w:t>
      </w:r>
      <w:r w:rsidR="00AA4DFD">
        <w:rPr>
          <w:rFonts w:hint="cs"/>
          <w:rtl/>
        </w:rPr>
        <w:lastRenderedPageBreak/>
        <w:t xml:space="preserve">השנים </w:t>
      </w:r>
      <w:r w:rsidR="00BE00ED">
        <w:rPr>
          <w:rFonts w:hint="cs"/>
          <w:rtl/>
        </w:rPr>
        <w:t>דעות</w:t>
      </w:r>
      <w:r w:rsidR="0077792B">
        <w:rPr>
          <w:rFonts w:hint="cs"/>
          <w:rtl/>
        </w:rPr>
        <w:t xml:space="preserve"> שונות </w:t>
      </w:r>
      <w:r w:rsidR="00412DB9">
        <w:rPr>
          <w:rFonts w:hint="cs"/>
          <w:rtl/>
        </w:rPr>
        <w:t>באשר להיקף תחולת</w:t>
      </w:r>
      <w:r w:rsidR="00BE00ED">
        <w:rPr>
          <w:rFonts w:hint="cs"/>
          <w:rtl/>
        </w:rPr>
        <w:t>ה של</w:t>
      </w:r>
      <w:r w:rsidR="00412DB9">
        <w:rPr>
          <w:rFonts w:hint="cs"/>
          <w:rtl/>
        </w:rPr>
        <w:t xml:space="preserve"> </w:t>
      </w:r>
      <w:r w:rsidR="00FB6D30">
        <w:rPr>
          <w:rFonts w:hint="cs"/>
          <w:rtl/>
        </w:rPr>
        <w:t xml:space="preserve">דוקטרינה </w:t>
      </w:r>
      <w:r w:rsidR="00BE00ED">
        <w:rPr>
          <w:rFonts w:hint="cs"/>
          <w:rtl/>
        </w:rPr>
        <w:t>זו בנסיבות שכאלה</w:t>
      </w:r>
      <w:r w:rsidR="00ED0A71">
        <w:rPr>
          <w:rFonts w:hint="cs"/>
          <w:rtl/>
        </w:rPr>
        <w:t xml:space="preserve">. </w:t>
      </w:r>
      <w:r w:rsidR="00FB6D30">
        <w:rPr>
          <w:rFonts w:hint="cs"/>
          <w:rtl/>
        </w:rPr>
        <w:t xml:space="preserve">יש הסבורים כי רק מקום שבו נגרמה </w:t>
      </w:r>
      <w:r w:rsidR="00FB6D30" w:rsidRPr="00FB6D30">
        <w:rPr>
          <w:rtl/>
        </w:rPr>
        <w:t xml:space="preserve">פגיעה בעלת </w:t>
      </w:r>
      <w:r w:rsidR="00FB6D30" w:rsidRPr="00BE00ED">
        <w:rPr>
          <w:rFonts w:ascii="Century" w:hAnsi="Century" w:cs="Miriam"/>
          <w:b/>
          <w:spacing w:val="0"/>
          <w:sz w:val="22"/>
          <w:szCs w:val="24"/>
          <w:rtl/>
        </w:rPr>
        <w:t>עוצמה מיוחדת</w:t>
      </w:r>
      <w:r w:rsidR="00FB6D30" w:rsidRPr="00BE00ED">
        <w:rPr>
          <w:rtl/>
        </w:rPr>
        <w:t xml:space="preserve"> </w:t>
      </w:r>
      <w:r w:rsidR="00FB6D30" w:rsidRPr="00FB6D30">
        <w:rPr>
          <w:rtl/>
        </w:rPr>
        <w:t xml:space="preserve">לעד בחקירתו, </w:t>
      </w:r>
      <w:r w:rsidR="00BE00ED">
        <w:rPr>
          <w:rFonts w:hint="cs"/>
          <w:rtl/>
        </w:rPr>
        <w:t xml:space="preserve">כך </w:t>
      </w:r>
      <w:r w:rsidR="00FB6D30" w:rsidRPr="00FB6D30">
        <w:rPr>
          <w:rtl/>
        </w:rPr>
        <w:t xml:space="preserve">למשל שהודעתו </w:t>
      </w:r>
      <w:r w:rsidR="00BE00ED">
        <w:rPr>
          <w:rFonts w:hint="cs"/>
          <w:rtl/>
        </w:rPr>
        <w:t>נגבתה</w:t>
      </w:r>
      <w:r w:rsidR="00FB6D30" w:rsidRPr="00FB6D30">
        <w:rPr>
          <w:rtl/>
        </w:rPr>
        <w:t xml:space="preserve"> נוכח איומים, שימוש באלימות, הפחדה או נסיבות מיוחדות אחרות, </w:t>
      </w:r>
      <w:r w:rsidR="00FB6D30">
        <w:rPr>
          <w:rFonts w:hint="cs"/>
          <w:rtl/>
        </w:rPr>
        <w:t>מוצדק</w:t>
      </w:r>
      <w:r w:rsidR="00FB6D30">
        <w:rPr>
          <w:rtl/>
        </w:rPr>
        <w:t xml:space="preserve"> להורות על פסילתה של ראיה </w:t>
      </w:r>
      <w:r w:rsidR="00FB6D30" w:rsidRPr="00FB6D30">
        <w:rPr>
          <w:rtl/>
        </w:rPr>
        <w:t>זו במשפטו של הנאשם</w:t>
      </w:r>
      <w:r w:rsidR="0099278C">
        <w:rPr>
          <w:rFonts w:hint="cs"/>
          <w:rtl/>
        </w:rPr>
        <w:t>.</w:t>
      </w:r>
    </w:p>
    <w:p w:rsidR="0099278C" w:rsidRDefault="0099278C" w:rsidP="0099278C">
      <w:pPr>
        <w:pStyle w:val="Ruller4"/>
        <w:numPr>
          <w:ilvl w:val="0"/>
          <w:numId w:val="0"/>
        </w:numPr>
        <w:rPr>
          <w:rtl/>
        </w:rPr>
      </w:pPr>
    </w:p>
    <w:p w:rsidR="00CA4424" w:rsidRDefault="0099278C" w:rsidP="009176ED">
      <w:pPr>
        <w:pStyle w:val="Ruller4"/>
        <w:numPr>
          <w:ilvl w:val="0"/>
          <w:numId w:val="0"/>
        </w:numPr>
        <w:rPr>
          <w:rtl/>
        </w:rPr>
      </w:pPr>
      <w:r>
        <w:rPr>
          <w:rtl/>
        </w:rPr>
        <w:tab/>
      </w:r>
      <w:r w:rsidR="006E6B21" w:rsidRPr="009176ED">
        <w:rPr>
          <w:rFonts w:hint="cs"/>
          <w:rtl/>
        </w:rPr>
        <w:t xml:space="preserve">מנגד, הובעה בפסיקה </w:t>
      </w:r>
      <w:r w:rsidR="007965D7" w:rsidRPr="009176ED">
        <w:rPr>
          <w:rFonts w:hint="cs"/>
          <w:rtl/>
        </w:rPr>
        <w:t xml:space="preserve">גם </w:t>
      </w:r>
      <w:r w:rsidR="006E6B21" w:rsidRPr="009176ED">
        <w:rPr>
          <w:rFonts w:hint="cs"/>
          <w:rtl/>
        </w:rPr>
        <w:t xml:space="preserve">עמדה </w:t>
      </w:r>
      <w:r w:rsidR="00CA4424" w:rsidRPr="009176ED">
        <w:rPr>
          <w:rFonts w:hint="cs"/>
          <w:rtl/>
        </w:rPr>
        <w:t>ש</w:t>
      </w:r>
      <w:r w:rsidR="006E6B21" w:rsidRPr="009176ED">
        <w:rPr>
          <w:rFonts w:hint="cs"/>
          <w:rtl/>
        </w:rPr>
        <w:t xml:space="preserve">לפיה </w:t>
      </w:r>
      <w:r w:rsidR="006E6B21" w:rsidRPr="009176ED">
        <w:rPr>
          <w:rtl/>
        </w:rPr>
        <w:t xml:space="preserve">אין מקום להחיל אמות מידה שונות על פסילת ראיה </w:t>
      </w:r>
      <w:r w:rsidR="00BE00ED" w:rsidRPr="009176ED">
        <w:rPr>
          <w:rFonts w:hint="cs"/>
          <w:rtl/>
        </w:rPr>
        <w:t>במקרים</w:t>
      </w:r>
      <w:r w:rsidR="006E6B21" w:rsidRPr="009176ED">
        <w:rPr>
          <w:rtl/>
        </w:rPr>
        <w:t xml:space="preserve"> בהם האמצעי הפסול שימש להשגת ראיה בחקירתו של עד </w:t>
      </w:r>
      <w:r w:rsidR="009176ED" w:rsidRPr="009176ED">
        <w:rPr>
          <w:rFonts w:hint="cs"/>
          <w:rtl/>
        </w:rPr>
        <w:t>אל מול מקרים</w:t>
      </w:r>
      <w:r w:rsidR="006E6B21" w:rsidRPr="009176ED">
        <w:rPr>
          <w:rtl/>
        </w:rPr>
        <w:t xml:space="preserve"> בהם האמצעי הפסול שימש להשגת ראיה בחקירתו של הנאשם </w:t>
      </w:r>
      <w:r w:rsidR="002502E0" w:rsidRPr="009176ED">
        <w:rPr>
          <w:rFonts w:hint="cs"/>
          <w:rtl/>
        </w:rPr>
        <w:t>בלבד</w:t>
      </w:r>
      <w:r w:rsidR="00FB6D30">
        <w:rPr>
          <w:rFonts w:hint="cs"/>
          <w:rtl/>
        </w:rPr>
        <w:t xml:space="preserve"> </w:t>
      </w:r>
      <w:r w:rsidR="0077792B">
        <w:rPr>
          <w:rFonts w:hint="cs"/>
          <w:rtl/>
        </w:rPr>
        <w:t xml:space="preserve">(ראו: </w:t>
      </w:r>
      <w:r w:rsidR="00AC054A" w:rsidRPr="00AC054A">
        <w:rPr>
          <w:rtl/>
        </w:rPr>
        <w:t>ע"פ 5002/09 </w:t>
      </w:r>
      <w:r w:rsidR="00AC054A" w:rsidRPr="00ED0A71">
        <w:rPr>
          <w:rFonts w:ascii="Century" w:hAnsi="Century" w:cs="Miriam"/>
          <w:b/>
          <w:spacing w:val="0"/>
          <w:sz w:val="22"/>
          <w:szCs w:val="24"/>
          <w:rtl/>
        </w:rPr>
        <w:t xml:space="preserve">מדינת ישראל נ' </w:t>
      </w:r>
      <w:proofErr w:type="spellStart"/>
      <w:r w:rsidR="00AC054A" w:rsidRPr="00ED0A71">
        <w:rPr>
          <w:rFonts w:ascii="Century" w:hAnsi="Century" w:cs="Miriam"/>
          <w:b/>
          <w:spacing w:val="0"/>
          <w:sz w:val="22"/>
          <w:szCs w:val="24"/>
          <w:rtl/>
        </w:rPr>
        <w:t>ז'אנו</w:t>
      </w:r>
      <w:proofErr w:type="spellEnd"/>
      <w:r w:rsidR="00AC054A">
        <w:rPr>
          <w:rFonts w:hint="cs"/>
          <w:rtl/>
        </w:rPr>
        <w:t xml:space="preserve">, פסקה </w:t>
      </w:r>
      <w:r w:rsidR="0092476F">
        <w:rPr>
          <w:rFonts w:hint="cs"/>
          <w:rtl/>
        </w:rPr>
        <w:t>17</w:t>
      </w:r>
      <w:r w:rsidR="00AC054A">
        <w:rPr>
          <w:rFonts w:hint="cs"/>
          <w:rtl/>
        </w:rPr>
        <w:t xml:space="preserve"> </w:t>
      </w:r>
      <w:r w:rsidR="0092476F">
        <w:rPr>
          <w:rFonts w:hint="cs"/>
          <w:rtl/>
        </w:rPr>
        <w:t xml:space="preserve">לחוות דעתו של השופט </w:t>
      </w:r>
      <w:r w:rsidR="0092476F" w:rsidRPr="00ED0A71">
        <w:rPr>
          <w:rFonts w:ascii="Century" w:hAnsi="Century" w:cs="Miriam" w:hint="cs"/>
          <w:b/>
          <w:spacing w:val="0"/>
          <w:sz w:val="22"/>
          <w:szCs w:val="24"/>
          <w:rtl/>
        </w:rPr>
        <w:t>א' לוי</w:t>
      </w:r>
      <w:r w:rsidR="0092476F" w:rsidRPr="0092476F">
        <w:rPr>
          <w:rFonts w:hint="cs"/>
          <w:rtl/>
        </w:rPr>
        <w:t xml:space="preserve"> </w:t>
      </w:r>
      <w:r w:rsidR="00AC054A" w:rsidRPr="00AC054A">
        <w:rPr>
          <w:rtl/>
        </w:rPr>
        <w:t>(</w:t>
      </w:r>
      <w:r w:rsidR="00AC054A">
        <w:rPr>
          <w:rFonts w:hint="cs"/>
          <w:rtl/>
        </w:rPr>
        <w:t>2.12.2010</w:t>
      </w:r>
      <w:r w:rsidR="00AC054A" w:rsidRPr="00AC054A">
        <w:rPr>
          <w:rtl/>
        </w:rPr>
        <w:t>)</w:t>
      </w:r>
      <w:r w:rsidR="006E6B21">
        <w:rPr>
          <w:rFonts w:hint="cs"/>
          <w:rtl/>
        </w:rPr>
        <w:t xml:space="preserve">, וכן </w:t>
      </w:r>
      <w:r w:rsidR="006E6B21" w:rsidRPr="0077792B">
        <w:rPr>
          <w:rtl/>
        </w:rPr>
        <w:t>ע"פ 5268/17 </w:t>
      </w:r>
      <w:proofErr w:type="spellStart"/>
      <w:r w:rsidR="006E6B21" w:rsidRPr="00ED0A71">
        <w:rPr>
          <w:rFonts w:ascii="Century" w:hAnsi="Century" w:cs="Miriam"/>
          <w:b/>
          <w:spacing w:val="0"/>
          <w:sz w:val="22"/>
          <w:szCs w:val="24"/>
          <w:rtl/>
        </w:rPr>
        <w:t>שוויש</w:t>
      </w:r>
      <w:proofErr w:type="spellEnd"/>
      <w:r w:rsidR="006E6B21" w:rsidRPr="00ED0A71">
        <w:rPr>
          <w:rFonts w:ascii="Century" w:hAnsi="Century" w:cs="Miriam"/>
          <w:b/>
          <w:spacing w:val="0"/>
          <w:sz w:val="22"/>
          <w:szCs w:val="24"/>
          <w:rtl/>
        </w:rPr>
        <w:t xml:space="preserve"> נ' מדינת ישראל</w:t>
      </w:r>
      <w:r w:rsidR="006E6B21">
        <w:rPr>
          <w:rFonts w:hint="cs"/>
          <w:rtl/>
        </w:rPr>
        <w:t xml:space="preserve">, פסקה </w:t>
      </w:r>
      <w:r w:rsidR="005551E8">
        <w:rPr>
          <w:rFonts w:hint="cs"/>
          <w:rtl/>
        </w:rPr>
        <w:t>77</w:t>
      </w:r>
      <w:r w:rsidR="006E6B21">
        <w:rPr>
          <w:rFonts w:hint="cs"/>
          <w:rtl/>
        </w:rPr>
        <w:t xml:space="preserve"> </w:t>
      </w:r>
      <w:r w:rsidR="006E6B21" w:rsidRPr="0077792B">
        <w:rPr>
          <w:rtl/>
        </w:rPr>
        <w:t>(</w:t>
      </w:r>
      <w:r w:rsidR="006E6B21">
        <w:rPr>
          <w:rFonts w:hint="cs"/>
          <w:rtl/>
        </w:rPr>
        <w:t>16.2.2022</w:t>
      </w:r>
      <w:r w:rsidR="006E6B21" w:rsidRPr="0077792B">
        <w:rPr>
          <w:rtl/>
        </w:rPr>
        <w:t>)‏</w:t>
      </w:r>
      <w:r w:rsidR="006E6B21">
        <w:rPr>
          <w:rFonts w:hint="cs"/>
          <w:rtl/>
        </w:rPr>
        <w:t>;</w:t>
      </w:r>
      <w:r w:rsidR="00150029">
        <w:rPr>
          <w:rFonts w:hint="cs"/>
          <w:rtl/>
        </w:rPr>
        <w:t xml:space="preserve"> אל מול</w:t>
      </w:r>
      <w:r w:rsidR="0092476F">
        <w:rPr>
          <w:rFonts w:hint="cs"/>
          <w:rtl/>
        </w:rPr>
        <w:t xml:space="preserve"> </w:t>
      </w:r>
      <w:r w:rsidR="0092476F" w:rsidRPr="0092476F">
        <w:rPr>
          <w:rtl/>
        </w:rPr>
        <w:t xml:space="preserve">ע"פ 3237/15 </w:t>
      </w:r>
      <w:r w:rsidR="0092476F" w:rsidRPr="00ED0A71">
        <w:rPr>
          <w:rFonts w:ascii="Century" w:hAnsi="Century" w:cs="Miriam"/>
          <w:b/>
          <w:spacing w:val="0"/>
          <w:sz w:val="22"/>
          <w:szCs w:val="24"/>
          <w:rtl/>
        </w:rPr>
        <w:t>יהודה נ' מדינת ישראל</w:t>
      </w:r>
      <w:r w:rsidR="0092476F" w:rsidRPr="0092476F">
        <w:rPr>
          <w:rFonts w:hint="cs"/>
          <w:rtl/>
        </w:rPr>
        <w:t xml:space="preserve">, פסקאות 50-45 לחוות דעתו של השופט </w:t>
      </w:r>
      <w:r w:rsidR="0092476F" w:rsidRPr="00ED0A71">
        <w:rPr>
          <w:rFonts w:ascii="Century" w:hAnsi="Century" w:cs="Miriam" w:hint="cs"/>
          <w:b/>
          <w:spacing w:val="0"/>
          <w:sz w:val="22"/>
          <w:szCs w:val="24"/>
          <w:rtl/>
        </w:rPr>
        <w:t>מ' מזוז</w:t>
      </w:r>
      <w:r w:rsidR="0092476F" w:rsidRPr="0092476F">
        <w:rPr>
          <w:rFonts w:hint="cs"/>
          <w:rtl/>
        </w:rPr>
        <w:t xml:space="preserve"> </w:t>
      </w:r>
      <w:r w:rsidR="0092476F" w:rsidRPr="0092476F">
        <w:rPr>
          <w:rtl/>
        </w:rPr>
        <w:t>(</w:t>
      </w:r>
      <w:r w:rsidR="0092476F">
        <w:rPr>
          <w:rFonts w:hint="cs"/>
          <w:rtl/>
        </w:rPr>
        <w:t>1.6.2016</w:t>
      </w:r>
      <w:r w:rsidR="0092476F" w:rsidRPr="0092476F">
        <w:rPr>
          <w:rtl/>
        </w:rPr>
        <w:t>)</w:t>
      </w:r>
      <w:r w:rsidR="0092476F">
        <w:rPr>
          <w:rFonts w:hint="cs"/>
          <w:rtl/>
        </w:rPr>
        <w:t>;</w:t>
      </w:r>
      <w:r w:rsidR="002149F7">
        <w:rPr>
          <w:rFonts w:hint="cs"/>
          <w:rtl/>
        </w:rPr>
        <w:t xml:space="preserve"> </w:t>
      </w:r>
      <w:r w:rsidR="000A0469">
        <w:rPr>
          <w:rFonts w:hint="cs"/>
          <w:rtl/>
        </w:rPr>
        <w:t>להרחבה</w:t>
      </w:r>
      <w:r w:rsidR="0077792B" w:rsidRPr="002149F7">
        <w:rPr>
          <w:rFonts w:hint="cs"/>
          <w:rtl/>
        </w:rPr>
        <w:t xml:space="preserve">: </w:t>
      </w:r>
      <w:r w:rsidR="002149F7" w:rsidRPr="002149F7">
        <w:rPr>
          <w:rtl/>
        </w:rPr>
        <w:t xml:space="preserve">גיא רובינשטיין ומשה </w:t>
      </w:r>
      <w:proofErr w:type="spellStart"/>
      <w:r w:rsidR="002149F7" w:rsidRPr="002149F7">
        <w:rPr>
          <w:rtl/>
        </w:rPr>
        <w:t>סרוגוביץ</w:t>
      </w:r>
      <w:proofErr w:type="spellEnd"/>
      <w:r w:rsidR="002149F7" w:rsidRPr="002149F7">
        <w:rPr>
          <w:rtl/>
        </w:rPr>
        <w:t xml:space="preserve"> "דו</w:t>
      </w:r>
      <w:r w:rsidR="00DD536B">
        <w:rPr>
          <w:rtl/>
        </w:rPr>
        <w:t xml:space="preserve">קטרינת הפסילה הפסיקתית ותחולתה </w:t>
      </w:r>
      <w:r w:rsidR="002149F7" w:rsidRPr="002149F7">
        <w:rPr>
          <w:rtl/>
        </w:rPr>
        <w:t>ע</w:t>
      </w:r>
      <w:r w:rsidR="002149F7">
        <w:rPr>
          <w:rtl/>
        </w:rPr>
        <w:t xml:space="preserve">ל עדים" </w:t>
      </w:r>
      <w:r w:rsidR="002149F7" w:rsidRPr="00ED0A71">
        <w:rPr>
          <w:rFonts w:ascii="Century" w:hAnsi="Century" w:cs="Miriam"/>
          <w:b/>
          <w:spacing w:val="0"/>
          <w:sz w:val="22"/>
          <w:szCs w:val="24"/>
          <w:rtl/>
        </w:rPr>
        <w:t>פורום עיוני משפט</w:t>
      </w:r>
      <w:r w:rsidR="002149F7" w:rsidRPr="002149F7">
        <w:rPr>
          <w:rtl/>
        </w:rPr>
        <w:t xml:space="preserve"> </w:t>
      </w:r>
      <w:proofErr w:type="spellStart"/>
      <w:r w:rsidR="002149F7">
        <w:rPr>
          <w:rtl/>
        </w:rPr>
        <w:t>מב</w:t>
      </w:r>
      <w:proofErr w:type="spellEnd"/>
      <w:r w:rsidR="002149F7">
        <w:rPr>
          <w:rtl/>
        </w:rPr>
        <w:t xml:space="preserve"> </w:t>
      </w:r>
      <w:r w:rsidR="00CA4424">
        <w:rPr>
          <w:rFonts w:hint="cs"/>
          <w:rtl/>
        </w:rPr>
        <w:t>5 (2019)).</w:t>
      </w:r>
    </w:p>
    <w:p w:rsidR="00CA4424" w:rsidRDefault="00CA4424" w:rsidP="0099278C">
      <w:pPr>
        <w:pStyle w:val="Ruller4"/>
        <w:numPr>
          <w:ilvl w:val="0"/>
          <w:numId w:val="0"/>
        </w:numPr>
        <w:rPr>
          <w:rtl/>
        </w:rPr>
      </w:pPr>
    </w:p>
    <w:p w:rsidR="002F4601" w:rsidRDefault="00CA4424" w:rsidP="00A76107">
      <w:pPr>
        <w:pStyle w:val="Ruller4"/>
        <w:numPr>
          <w:ilvl w:val="0"/>
          <w:numId w:val="0"/>
        </w:numPr>
        <w:rPr>
          <w:rtl/>
        </w:rPr>
      </w:pPr>
      <w:r>
        <w:rPr>
          <w:rtl/>
        </w:rPr>
        <w:tab/>
      </w:r>
      <w:r w:rsidR="005551E8">
        <w:rPr>
          <w:rFonts w:hint="cs"/>
          <w:rtl/>
        </w:rPr>
        <w:t xml:space="preserve">תיקון </w:t>
      </w:r>
      <w:r w:rsidR="00EE6CD5">
        <w:rPr>
          <w:rFonts w:hint="cs"/>
          <w:rtl/>
        </w:rPr>
        <w:t xml:space="preserve">פקודת </w:t>
      </w:r>
      <w:r w:rsidR="00EE6CD5" w:rsidRPr="0099278C">
        <w:rPr>
          <w:rFonts w:hint="cs"/>
          <w:rtl/>
        </w:rPr>
        <w:t>הראיות (</w:t>
      </w:r>
      <w:r w:rsidR="0099278C" w:rsidRPr="0099278C">
        <w:rPr>
          <w:rtl/>
        </w:rPr>
        <w:t>חוק לתיקון פקודת הראיות</w:t>
      </w:r>
      <w:r w:rsidR="0099278C">
        <w:rPr>
          <w:rtl/>
        </w:rPr>
        <w:t xml:space="preserve"> (מס' 19), התשפ"ב-2022, ס"ח 984</w:t>
      </w:r>
      <w:r w:rsidR="00C35AEF">
        <w:rPr>
          <w:rFonts w:hint="cs"/>
          <w:rtl/>
        </w:rPr>
        <w:t>)</w:t>
      </w:r>
      <w:r w:rsidR="00EE6CD5" w:rsidRPr="0099278C">
        <w:rPr>
          <w:rFonts w:hint="cs"/>
          <w:rtl/>
        </w:rPr>
        <w:t xml:space="preserve"> </w:t>
      </w:r>
      <w:r w:rsidR="00C35AEF">
        <w:rPr>
          <w:rFonts w:hint="cs"/>
          <w:rtl/>
        </w:rPr>
        <w:t>מהווה התפתחות משמעות</w:t>
      </w:r>
      <w:r w:rsidR="000D4455">
        <w:rPr>
          <w:rFonts w:hint="cs"/>
          <w:rtl/>
        </w:rPr>
        <w:t>ית</w:t>
      </w:r>
      <w:r w:rsidR="00C35AEF">
        <w:rPr>
          <w:rFonts w:hint="cs"/>
          <w:rtl/>
        </w:rPr>
        <w:t xml:space="preserve"> בדין. לפקודת הראיות</w:t>
      </w:r>
      <w:r w:rsidR="005551E8">
        <w:rPr>
          <w:rFonts w:hint="cs"/>
          <w:rtl/>
        </w:rPr>
        <w:t xml:space="preserve"> נוסף</w:t>
      </w:r>
      <w:r w:rsidR="00EE6CD5">
        <w:rPr>
          <w:rFonts w:hint="cs"/>
          <w:rtl/>
        </w:rPr>
        <w:t xml:space="preserve"> סעיף 56א(א), שז</w:t>
      </w:r>
      <w:r w:rsidR="00A76107">
        <w:rPr>
          <w:rFonts w:hint="cs"/>
          <w:rtl/>
        </w:rPr>
        <w:t>ו</w:t>
      </w:r>
      <w:r w:rsidR="00EE6CD5">
        <w:rPr>
          <w:rFonts w:hint="cs"/>
          <w:rtl/>
        </w:rPr>
        <w:t xml:space="preserve"> לשונו:</w:t>
      </w:r>
    </w:p>
    <w:p w:rsidR="002149F7" w:rsidRDefault="002149F7" w:rsidP="002149F7">
      <w:pPr>
        <w:pStyle w:val="Ruller40"/>
        <w:rPr>
          <w:rtl/>
        </w:rPr>
      </w:pPr>
    </w:p>
    <w:p w:rsidR="00EE6CD5" w:rsidRDefault="002149F7" w:rsidP="000D4455">
      <w:pPr>
        <w:pStyle w:val="Ruller5"/>
      </w:pPr>
      <w:r>
        <w:rPr>
          <w:rFonts w:hint="cs"/>
          <w:sz w:val="28"/>
          <w:rtl/>
        </w:rPr>
        <w:t>"56</w:t>
      </w:r>
      <w:r w:rsidRPr="002149F7">
        <w:rPr>
          <w:rFonts w:hint="cs"/>
          <w:sz w:val="28"/>
          <w:rtl/>
        </w:rPr>
        <w:t>א. (א) בית המשפט</w:t>
      </w:r>
      <w:r>
        <w:rPr>
          <w:rFonts w:hint="cs"/>
          <w:rtl/>
        </w:rPr>
        <w:t xml:space="preserve"> הדן במשפט פלילי רשאי שלא לקבל ראיה שהושגה שלא כדין, ובכלל זה הודעת נאשם </w:t>
      </w:r>
      <w:r w:rsidRPr="00EE6CD5">
        <w:rPr>
          <w:rFonts w:ascii="Century" w:hAnsi="Century" w:cs="Miriam" w:hint="cs"/>
          <w:b/>
          <w:spacing w:val="0"/>
          <w:szCs w:val="24"/>
          <w:rtl/>
        </w:rPr>
        <w:t>או עד</w:t>
      </w:r>
      <w:r>
        <w:rPr>
          <w:rFonts w:hint="cs"/>
          <w:rtl/>
        </w:rPr>
        <w:t xml:space="preserve">, חפץ או כל ראיה אחרת, אם שוכנע שקבלתה במשפט תפגע באופן מהותי בזכות להליך הוגן, בשים לב לאופייה ולחומרתה של ההפרה, למידת ההשפעה של ההפרה על הראיה שהושגה ולעניין הציבורי שבקבלת הראיה או באי-קבלתה; בסעיף קטן זה, </w:t>
      </w:r>
      <w:r w:rsidR="000D4455">
        <w:rPr>
          <w:rFonts w:hint="cs"/>
          <w:rtl/>
        </w:rPr>
        <w:t>'</w:t>
      </w:r>
      <w:r>
        <w:rPr>
          <w:rFonts w:hint="cs"/>
          <w:rtl/>
        </w:rPr>
        <w:t>הפרה</w:t>
      </w:r>
      <w:r w:rsidR="000D4455">
        <w:rPr>
          <w:rFonts w:hint="cs"/>
          <w:rtl/>
        </w:rPr>
        <w:t>'</w:t>
      </w:r>
      <w:r>
        <w:rPr>
          <w:rFonts w:hint="cs"/>
          <w:rtl/>
        </w:rPr>
        <w:t xml:space="preserve"> – השגת ראיה שלא כדין.</w:t>
      </w:r>
      <w:r w:rsidR="00EE6CD5" w:rsidRPr="00EE6CD5">
        <w:rPr>
          <w:rFonts w:hint="cs"/>
          <w:rtl/>
        </w:rPr>
        <w:t xml:space="preserve"> </w:t>
      </w:r>
      <w:r w:rsidR="00EE6CD5">
        <w:rPr>
          <w:rFonts w:hint="cs"/>
          <w:rtl/>
        </w:rPr>
        <w:t>[...]</w:t>
      </w:r>
      <w:r w:rsidR="00ED0A71">
        <w:rPr>
          <w:rFonts w:hint="cs"/>
          <w:rtl/>
        </w:rPr>
        <w:t>"</w:t>
      </w:r>
      <w:r w:rsidR="00EE6CD5">
        <w:rPr>
          <w:rFonts w:hint="cs"/>
          <w:rtl/>
        </w:rPr>
        <w:t xml:space="preserve"> (ההדגשה הוספה </w:t>
      </w:r>
      <w:r w:rsidR="00EE6CD5">
        <w:rPr>
          <w:rtl/>
        </w:rPr>
        <w:t>–</w:t>
      </w:r>
      <w:r w:rsidR="00EE6CD5">
        <w:rPr>
          <w:rFonts w:hint="cs"/>
          <w:rtl/>
        </w:rPr>
        <w:t xml:space="preserve"> י' א'). </w:t>
      </w:r>
    </w:p>
    <w:p w:rsidR="002149F7" w:rsidRDefault="002149F7" w:rsidP="002149F7">
      <w:pPr>
        <w:pStyle w:val="Ruller5"/>
      </w:pPr>
    </w:p>
    <w:p w:rsidR="00D6705F" w:rsidRDefault="00FC3496" w:rsidP="000D4455">
      <w:pPr>
        <w:pStyle w:val="Ruller4"/>
        <w:numPr>
          <w:ilvl w:val="0"/>
          <w:numId w:val="0"/>
        </w:numPr>
        <w:rPr>
          <w:rtl/>
        </w:rPr>
      </w:pPr>
      <w:r>
        <w:rPr>
          <w:rtl/>
        </w:rPr>
        <w:tab/>
      </w:r>
      <w:r w:rsidR="00265C00">
        <w:rPr>
          <w:rFonts w:hint="cs"/>
          <w:rtl/>
        </w:rPr>
        <w:t xml:space="preserve">כלשון השופט </w:t>
      </w:r>
      <w:r w:rsidR="00265C00" w:rsidRPr="00265C00">
        <w:rPr>
          <w:rFonts w:ascii="Century" w:hAnsi="Century" w:cs="Miriam" w:hint="cs"/>
          <w:b/>
          <w:spacing w:val="0"/>
          <w:sz w:val="22"/>
          <w:szCs w:val="24"/>
          <w:rtl/>
        </w:rPr>
        <w:t>א' שטיין</w:t>
      </w:r>
      <w:r w:rsidR="00AE3442">
        <w:rPr>
          <w:rFonts w:hint="cs"/>
          <w:rtl/>
        </w:rPr>
        <w:t xml:space="preserve">, </w:t>
      </w:r>
      <w:r w:rsidR="00724F53">
        <w:rPr>
          <w:rFonts w:hint="cs"/>
          <w:rtl/>
        </w:rPr>
        <w:t xml:space="preserve">בתיקון זה </w:t>
      </w:r>
      <w:r w:rsidR="00265C00" w:rsidRPr="00265C00">
        <w:rPr>
          <w:rtl/>
        </w:rPr>
        <w:t>"כלל הפסילה החוקתי הועת</w:t>
      </w:r>
      <w:r w:rsidR="00265C00">
        <w:rPr>
          <w:rtl/>
        </w:rPr>
        <w:t>ק אל תוך סעיף 56א לפקודת הראיות</w:t>
      </w:r>
      <w:r w:rsidR="00265C00" w:rsidRPr="00265C00">
        <w:rPr>
          <w:rFonts w:hint="cs"/>
          <w:rtl/>
        </w:rPr>
        <w:t>" (</w:t>
      </w:r>
      <w:r w:rsidR="00265C00" w:rsidRPr="00265C00">
        <w:rPr>
          <w:rtl/>
        </w:rPr>
        <w:t xml:space="preserve">ע"פ 6359/21 </w:t>
      </w:r>
      <w:r w:rsidR="00265C00" w:rsidRPr="00265C00">
        <w:rPr>
          <w:rFonts w:ascii="Century" w:hAnsi="Century" w:cs="Miriam"/>
          <w:b/>
          <w:spacing w:val="0"/>
          <w:sz w:val="22"/>
          <w:szCs w:val="24"/>
          <w:rtl/>
        </w:rPr>
        <w:t xml:space="preserve">מדינת ישראל נ' אל </w:t>
      </w:r>
      <w:proofErr w:type="spellStart"/>
      <w:r w:rsidR="00265C00" w:rsidRPr="00265C00">
        <w:rPr>
          <w:rFonts w:ascii="Century" w:hAnsi="Century" w:cs="Miriam"/>
          <w:b/>
          <w:spacing w:val="0"/>
          <w:sz w:val="22"/>
          <w:szCs w:val="24"/>
          <w:rtl/>
        </w:rPr>
        <w:t>עמראני</w:t>
      </w:r>
      <w:proofErr w:type="spellEnd"/>
      <w:r w:rsidR="00265C00">
        <w:rPr>
          <w:rFonts w:hint="cs"/>
          <w:rtl/>
        </w:rPr>
        <w:t xml:space="preserve">, פסקה 43 </w:t>
      </w:r>
      <w:r w:rsidR="00265C00" w:rsidRPr="00265C00">
        <w:rPr>
          <w:rtl/>
        </w:rPr>
        <w:t>(</w:t>
      </w:r>
      <w:r w:rsidR="00265C00">
        <w:rPr>
          <w:rFonts w:hint="cs"/>
          <w:rtl/>
        </w:rPr>
        <w:t>8.9.2022</w:t>
      </w:r>
      <w:r w:rsidR="00265C00" w:rsidRPr="00265C00">
        <w:rPr>
          <w:rtl/>
        </w:rPr>
        <w:t>)</w:t>
      </w:r>
      <w:r w:rsidR="00265C00">
        <w:rPr>
          <w:rFonts w:hint="cs"/>
          <w:rtl/>
        </w:rPr>
        <w:t xml:space="preserve">). </w:t>
      </w:r>
      <w:r w:rsidR="00EE6CD5">
        <w:rPr>
          <w:rFonts w:hint="cs"/>
          <w:rtl/>
        </w:rPr>
        <w:t>בדברי ההסבר</w:t>
      </w:r>
      <w:r>
        <w:rPr>
          <w:rFonts w:hint="cs"/>
          <w:rtl/>
        </w:rPr>
        <w:t xml:space="preserve"> הובהר,</w:t>
      </w:r>
      <w:r w:rsidR="00EE6CD5">
        <w:rPr>
          <w:rFonts w:hint="cs"/>
          <w:rtl/>
        </w:rPr>
        <w:t xml:space="preserve"> כי "</w:t>
      </w:r>
      <w:r w:rsidR="00EE6CD5" w:rsidRPr="00EE6CD5">
        <w:rPr>
          <w:rFonts w:ascii="Century" w:hAnsi="Century" w:cs="Miriam" w:hint="cs"/>
          <w:b/>
          <w:spacing w:val="0"/>
          <w:sz w:val="22"/>
          <w:szCs w:val="24"/>
          <w:rtl/>
        </w:rPr>
        <w:t xml:space="preserve">על פי ההצעה יהיה ניתן לפסול ראיות שהושגו כתוצאה מהפרת דין שבוצעה כלפי עד, ולא רק כלפי נאשם. בכך מוצע לקבוע אמירה חד-משמעית ולפיה לבית המשפט נתונה הסמכות לפסול כל ראיה, ובכלל זה הודעת נאשם, הודעת עד וראיה </w:t>
      </w:r>
      <w:proofErr w:type="spellStart"/>
      <w:r w:rsidR="00EE6CD5" w:rsidRPr="00EE6CD5">
        <w:rPr>
          <w:rFonts w:ascii="Century" w:hAnsi="Century" w:cs="Miriam" w:hint="cs"/>
          <w:b/>
          <w:spacing w:val="0"/>
          <w:sz w:val="22"/>
          <w:szCs w:val="24"/>
          <w:rtl/>
        </w:rPr>
        <w:t>חפצית</w:t>
      </w:r>
      <w:proofErr w:type="spellEnd"/>
      <w:r w:rsidR="00EE6CD5">
        <w:rPr>
          <w:rFonts w:hint="cs"/>
          <w:rtl/>
        </w:rPr>
        <w:t>" (</w:t>
      </w:r>
      <w:r w:rsidR="005551E8">
        <w:rPr>
          <w:rFonts w:ascii="FrankRuehl" w:hAnsi="FrankRuehl"/>
          <w:color w:val="000000"/>
          <w:sz w:val="28"/>
          <w:rtl/>
        </w:rPr>
        <w:t xml:space="preserve">דברי ההסבר להצעת חוק לתיקון פקודת הראיות (תיקון מס' 19) (פסילת ראיה), </w:t>
      </w:r>
      <w:proofErr w:type="spellStart"/>
      <w:r w:rsidR="005551E8">
        <w:rPr>
          <w:rFonts w:ascii="FrankRuehl" w:hAnsi="FrankRuehl"/>
          <w:color w:val="000000"/>
          <w:sz w:val="28"/>
          <w:rtl/>
        </w:rPr>
        <w:t>התשפ"ב</w:t>
      </w:r>
      <w:proofErr w:type="spellEnd"/>
      <w:r w:rsidR="005551E8">
        <w:rPr>
          <w:rFonts w:ascii="FrankRuehl" w:hAnsi="FrankRuehl"/>
          <w:color w:val="000000"/>
          <w:sz w:val="28"/>
          <w:rtl/>
        </w:rPr>
        <w:t xml:space="preserve">–2021, </w:t>
      </w:r>
      <w:proofErr w:type="spellStart"/>
      <w:r w:rsidR="005551E8">
        <w:rPr>
          <w:rFonts w:ascii="FrankRuehl" w:hAnsi="FrankRuehl"/>
          <w:color w:val="000000"/>
          <w:sz w:val="28"/>
          <w:rtl/>
        </w:rPr>
        <w:t>ה"ח</w:t>
      </w:r>
      <w:proofErr w:type="spellEnd"/>
      <w:r w:rsidR="005551E8">
        <w:rPr>
          <w:rFonts w:ascii="FrankRuehl" w:hAnsi="FrankRuehl"/>
          <w:color w:val="000000"/>
          <w:sz w:val="28"/>
          <w:rtl/>
        </w:rPr>
        <w:t xml:space="preserve"> </w:t>
      </w:r>
      <w:r w:rsidR="000D4455">
        <w:rPr>
          <w:rFonts w:ascii="FrankRuehl" w:hAnsi="FrankRuehl" w:hint="cs"/>
          <w:color w:val="000000"/>
          <w:sz w:val="28"/>
          <w:rtl/>
        </w:rPr>
        <w:t>56</w:t>
      </w:r>
      <w:r w:rsidR="00D6705F">
        <w:rPr>
          <w:rFonts w:hint="cs"/>
          <w:rtl/>
        </w:rPr>
        <w:t>, 57).</w:t>
      </w:r>
    </w:p>
    <w:p w:rsidR="00D6705F" w:rsidRDefault="00D6705F" w:rsidP="00DB0CEA">
      <w:pPr>
        <w:pStyle w:val="Ruller4"/>
        <w:numPr>
          <w:ilvl w:val="0"/>
          <w:numId w:val="0"/>
        </w:numPr>
        <w:rPr>
          <w:rtl/>
        </w:rPr>
      </w:pPr>
    </w:p>
    <w:p w:rsidR="00EE6CD5" w:rsidRPr="00EE6CD5" w:rsidRDefault="00D6705F" w:rsidP="00DB0CEA">
      <w:pPr>
        <w:pStyle w:val="Ruller4"/>
        <w:numPr>
          <w:ilvl w:val="0"/>
          <w:numId w:val="0"/>
        </w:numPr>
      </w:pPr>
      <w:r>
        <w:rPr>
          <w:rtl/>
        </w:rPr>
        <w:tab/>
      </w:r>
      <w:r w:rsidR="005E01D6">
        <w:rPr>
          <w:rFonts w:hint="cs"/>
          <w:rtl/>
        </w:rPr>
        <w:t xml:space="preserve">אם כך, </w:t>
      </w:r>
      <w:r w:rsidR="00AA4DFD">
        <w:rPr>
          <w:rFonts w:hint="cs"/>
          <w:rtl/>
        </w:rPr>
        <w:t xml:space="preserve">בעוד </w:t>
      </w:r>
      <w:r w:rsidR="00724F53">
        <w:rPr>
          <w:rFonts w:hint="cs"/>
          <w:rtl/>
        </w:rPr>
        <w:t>ש</w:t>
      </w:r>
      <w:r w:rsidR="000A0469">
        <w:rPr>
          <w:rFonts w:hint="cs"/>
          <w:rtl/>
        </w:rPr>
        <w:t>ה</w:t>
      </w:r>
      <w:r w:rsidR="005E01D6">
        <w:rPr>
          <w:rFonts w:hint="cs"/>
          <w:rtl/>
        </w:rPr>
        <w:t xml:space="preserve">תיקון </w:t>
      </w:r>
      <w:r w:rsidR="000A0469">
        <w:rPr>
          <w:rFonts w:hint="cs"/>
          <w:rtl/>
        </w:rPr>
        <w:t>האמור</w:t>
      </w:r>
      <w:r w:rsidR="005E01D6">
        <w:rPr>
          <w:rFonts w:hint="cs"/>
          <w:rtl/>
        </w:rPr>
        <w:t xml:space="preserve"> </w:t>
      </w:r>
      <w:r w:rsidR="004D4DB9">
        <w:rPr>
          <w:rFonts w:hint="cs"/>
          <w:rtl/>
        </w:rPr>
        <w:t>קובע</w:t>
      </w:r>
      <w:r w:rsidR="007965D7">
        <w:rPr>
          <w:rFonts w:hint="cs"/>
          <w:rtl/>
        </w:rPr>
        <w:t xml:space="preserve"> כי בית המשפט רשאי שלא לקבל גם הודעת עד</w:t>
      </w:r>
      <w:r w:rsidR="002C3BFC">
        <w:rPr>
          <w:rFonts w:hint="cs"/>
          <w:rtl/>
        </w:rPr>
        <w:t xml:space="preserve"> שהושגה, לכאורה, שלא כדין</w:t>
      </w:r>
      <w:r w:rsidR="007965D7">
        <w:rPr>
          <w:rFonts w:hint="cs"/>
          <w:rtl/>
        </w:rPr>
        <w:t xml:space="preserve"> </w:t>
      </w:r>
      <w:r w:rsidR="005E01D6">
        <w:rPr>
          <w:rFonts w:hint="cs"/>
          <w:rtl/>
        </w:rPr>
        <w:t xml:space="preserve">(ראו גם: </w:t>
      </w:r>
      <w:r w:rsidR="005E01D6">
        <w:rPr>
          <w:rFonts w:ascii="FrankRuehl" w:hAnsi="FrankRuehl" w:hint="cs"/>
          <w:color w:val="000000"/>
          <w:sz w:val="28"/>
          <w:rtl/>
        </w:rPr>
        <w:t>פ</w:t>
      </w:r>
      <w:r w:rsidR="005E01D6">
        <w:rPr>
          <w:rFonts w:ascii="FrankRuehl" w:hAnsi="FrankRuehl"/>
          <w:color w:val="000000"/>
          <w:sz w:val="28"/>
          <w:rtl/>
        </w:rPr>
        <w:t xml:space="preserve">רוטוקול ישיבה </w:t>
      </w:r>
      <w:r w:rsidR="005E01D6">
        <w:rPr>
          <w:rFonts w:ascii="FrankRuehl" w:hAnsi="FrankRuehl" w:hint="cs"/>
          <w:color w:val="000000"/>
          <w:sz w:val="28"/>
          <w:rtl/>
        </w:rPr>
        <w:t>196</w:t>
      </w:r>
      <w:r w:rsidR="005E01D6">
        <w:rPr>
          <w:rFonts w:ascii="FrankRuehl" w:hAnsi="FrankRuehl"/>
          <w:color w:val="000000"/>
          <w:sz w:val="28"/>
          <w:rtl/>
        </w:rPr>
        <w:t xml:space="preserve"> של ועדת החוקה, חוק </w:t>
      </w:r>
      <w:r w:rsidR="005E01D6">
        <w:rPr>
          <w:rFonts w:ascii="FrankRuehl" w:hAnsi="FrankRuehl"/>
          <w:color w:val="000000"/>
          <w:sz w:val="28"/>
          <w:rtl/>
        </w:rPr>
        <w:lastRenderedPageBreak/>
        <w:t>ומשפט, הכנסת ה-</w:t>
      </w:r>
      <w:r w:rsidR="005E01D6">
        <w:rPr>
          <w:rFonts w:ascii="FrankRuehl" w:hAnsi="FrankRuehl" w:hint="cs"/>
          <w:color w:val="000000"/>
          <w:sz w:val="28"/>
          <w:rtl/>
        </w:rPr>
        <w:t>24</w:t>
      </w:r>
      <w:r w:rsidR="005E01D6">
        <w:rPr>
          <w:rFonts w:ascii="FrankRuehl" w:hAnsi="FrankRuehl"/>
          <w:color w:val="000000"/>
          <w:sz w:val="28"/>
          <w:rtl/>
        </w:rPr>
        <w:t xml:space="preserve">, </w:t>
      </w:r>
      <w:r w:rsidR="005E01D6">
        <w:rPr>
          <w:rFonts w:ascii="FrankRuehl" w:hAnsi="FrankRuehl" w:hint="cs"/>
          <w:color w:val="000000"/>
          <w:sz w:val="28"/>
          <w:rtl/>
        </w:rPr>
        <w:t xml:space="preserve">5 </w:t>
      </w:r>
      <w:r w:rsidR="000A1B00">
        <w:rPr>
          <w:rFonts w:ascii="FrankRuehl" w:hAnsi="FrankRuehl"/>
          <w:color w:val="000000"/>
          <w:sz w:val="28"/>
        </w:rPr>
        <w:t>(</w:t>
      </w:r>
      <w:r w:rsidR="005E01D6">
        <w:rPr>
          <w:rFonts w:ascii="FrankRuehl" w:hAnsi="FrankRuehl"/>
          <w:color w:val="000000"/>
          <w:sz w:val="28"/>
        </w:rPr>
        <w:t>(2.2.2022)</w:t>
      </w:r>
      <w:r w:rsidR="00AA4DFD">
        <w:rPr>
          <w:rFonts w:hint="cs"/>
          <w:rtl/>
        </w:rPr>
        <w:t xml:space="preserve">, </w:t>
      </w:r>
      <w:r w:rsidR="007965D7">
        <w:rPr>
          <w:rFonts w:hint="cs"/>
          <w:rtl/>
        </w:rPr>
        <w:t>דומה</w:t>
      </w:r>
      <w:r w:rsidR="00FC3496">
        <w:rPr>
          <w:rFonts w:hint="cs"/>
          <w:rtl/>
        </w:rPr>
        <w:t xml:space="preserve"> שהתיקון לא סיפק מענה </w:t>
      </w:r>
      <w:r w:rsidR="00D56913">
        <w:rPr>
          <w:rFonts w:hint="cs"/>
          <w:rtl/>
        </w:rPr>
        <w:t xml:space="preserve">מפורש בלשון הסעיף </w:t>
      </w:r>
      <w:r w:rsidR="00AA4DFD">
        <w:rPr>
          <w:rFonts w:hint="cs"/>
          <w:rtl/>
        </w:rPr>
        <w:t xml:space="preserve">ביחס </w:t>
      </w:r>
      <w:r w:rsidR="00D56913">
        <w:rPr>
          <w:rFonts w:hint="cs"/>
          <w:rtl/>
        </w:rPr>
        <w:t>למחלוקת</w:t>
      </w:r>
      <w:r w:rsidR="00FC3496">
        <w:rPr>
          <w:rFonts w:hint="cs"/>
          <w:rtl/>
        </w:rPr>
        <w:t xml:space="preserve"> </w:t>
      </w:r>
      <w:r w:rsidR="00CA4424">
        <w:rPr>
          <w:rFonts w:hint="cs"/>
          <w:rtl/>
        </w:rPr>
        <w:t xml:space="preserve">האמורה </w:t>
      </w:r>
      <w:r w:rsidR="00AA4DFD">
        <w:rPr>
          <w:rFonts w:hint="cs"/>
          <w:rtl/>
        </w:rPr>
        <w:t xml:space="preserve">בדבר </w:t>
      </w:r>
      <w:r w:rsidR="00D56913">
        <w:rPr>
          <w:rFonts w:hint="cs"/>
          <w:rtl/>
        </w:rPr>
        <w:t xml:space="preserve">אמת המידה שעל פיה יש לבחון </w:t>
      </w:r>
      <w:r w:rsidR="00AA4DFD">
        <w:rPr>
          <w:rFonts w:hint="cs"/>
          <w:rtl/>
        </w:rPr>
        <w:t>טענות באשר לקבילותה של הודעת עד</w:t>
      </w:r>
      <w:r w:rsidR="002C3BFC">
        <w:rPr>
          <w:rFonts w:hint="cs"/>
          <w:rtl/>
        </w:rPr>
        <w:t xml:space="preserve"> בנסיבות אלה</w:t>
      </w:r>
      <w:r w:rsidR="00AA4DFD">
        <w:rPr>
          <w:rFonts w:hint="cs"/>
          <w:rtl/>
        </w:rPr>
        <w:t xml:space="preserve">. </w:t>
      </w:r>
      <w:r w:rsidR="007965D7">
        <w:rPr>
          <w:rFonts w:hint="cs"/>
          <w:rtl/>
        </w:rPr>
        <w:t xml:space="preserve"> </w:t>
      </w:r>
      <w:r w:rsidR="00FC3496">
        <w:rPr>
          <w:rFonts w:hint="cs"/>
          <w:rtl/>
        </w:rPr>
        <w:t xml:space="preserve"> </w:t>
      </w:r>
    </w:p>
    <w:p w:rsidR="00EE6CD5" w:rsidRPr="00AA4DFD" w:rsidRDefault="00EE6CD5" w:rsidP="00EE6CD5">
      <w:pPr>
        <w:pStyle w:val="Ruller4"/>
        <w:numPr>
          <w:ilvl w:val="0"/>
          <w:numId w:val="0"/>
        </w:numPr>
      </w:pPr>
    </w:p>
    <w:p w:rsidR="00490CFA" w:rsidRDefault="00FC3496" w:rsidP="002C3BFC">
      <w:pPr>
        <w:pStyle w:val="Ruller4"/>
      </w:pPr>
      <w:r>
        <w:rPr>
          <w:rFonts w:hint="cs"/>
          <w:rtl/>
        </w:rPr>
        <w:t xml:space="preserve">מדובר </w:t>
      </w:r>
      <w:r w:rsidR="006C1A48">
        <w:rPr>
          <w:rFonts w:hint="cs"/>
          <w:rtl/>
        </w:rPr>
        <w:t>בסוגיה מורכבת</w:t>
      </w:r>
      <w:r w:rsidR="000A0469">
        <w:rPr>
          <w:rFonts w:hint="cs"/>
          <w:rtl/>
        </w:rPr>
        <w:t>, אשר לא בכדי נשמעו בעניינה עמדות שונות</w:t>
      </w:r>
      <w:r>
        <w:rPr>
          <w:rFonts w:hint="cs"/>
          <w:rtl/>
        </w:rPr>
        <w:t xml:space="preserve">. עם זאת, </w:t>
      </w:r>
      <w:r w:rsidR="0077792B">
        <w:rPr>
          <w:rFonts w:hint="cs"/>
          <w:rtl/>
        </w:rPr>
        <w:t xml:space="preserve">ענייננו אינו מחייב הכרעה </w:t>
      </w:r>
      <w:r>
        <w:rPr>
          <w:rFonts w:hint="cs"/>
          <w:rtl/>
        </w:rPr>
        <w:t>בה</w:t>
      </w:r>
      <w:r w:rsidR="005551E8">
        <w:rPr>
          <w:rFonts w:hint="cs"/>
          <w:rtl/>
        </w:rPr>
        <w:t xml:space="preserve"> מאחר ש</w:t>
      </w:r>
      <w:r w:rsidR="00AA38A7">
        <w:rPr>
          <w:rFonts w:hint="cs"/>
          <w:rtl/>
        </w:rPr>
        <w:t xml:space="preserve">בין אם נבחן את המקרה שלפנינו לפי אמת מידה מחמירה, או לפי אמת המידה המקובלת </w:t>
      </w:r>
      <w:r w:rsidR="00AA4DFD">
        <w:rPr>
          <w:rFonts w:hint="cs"/>
          <w:rtl/>
        </w:rPr>
        <w:t xml:space="preserve">לבחינת קבילותן של ראיות אחרות </w:t>
      </w:r>
      <w:r w:rsidR="00AA4DFD">
        <w:rPr>
          <w:rtl/>
        </w:rPr>
        <w:t>–</w:t>
      </w:r>
      <w:r w:rsidR="00AA4DFD">
        <w:rPr>
          <w:rFonts w:hint="cs"/>
          <w:rtl/>
        </w:rPr>
        <w:t xml:space="preserve"> </w:t>
      </w:r>
      <w:r w:rsidR="009F6228">
        <w:rPr>
          <w:rFonts w:hint="cs"/>
          <w:rtl/>
        </w:rPr>
        <w:t>אין לפנינו פגם הפוסל את הרא</w:t>
      </w:r>
      <w:r w:rsidR="00AA38A7">
        <w:rPr>
          <w:rFonts w:hint="cs"/>
          <w:rtl/>
        </w:rPr>
        <w:t xml:space="preserve">יה. </w:t>
      </w:r>
      <w:r w:rsidR="002C3BFC">
        <w:rPr>
          <w:rFonts w:hint="cs"/>
          <w:rtl/>
        </w:rPr>
        <w:t>לנוכח טענות בא-כוח המערער בעניין זה</w:t>
      </w:r>
      <w:r w:rsidR="00AA38A7">
        <w:rPr>
          <w:rFonts w:hint="cs"/>
          <w:rtl/>
        </w:rPr>
        <w:t xml:space="preserve"> צפיתי בסרט המתעד את חקירת האחות. האחות נחקרה על-ידי מספר חוקרים </w:t>
      </w:r>
      <w:r w:rsidR="005551E8">
        <w:rPr>
          <w:rFonts w:hint="cs"/>
          <w:rtl/>
        </w:rPr>
        <w:t xml:space="preserve">בו זמנית. </w:t>
      </w:r>
      <w:r w:rsidR="00AA38A7">
        <w:rPr>
          <w:rFonts w:hint="cs"/>
          <w:rtl/>
        </w:rPr>
        <w:t>האחד יושב מל</w:t>
      </w:r>
      <w:r w:rsidR="00710F23">
        <w:rPr>
          <w:rFonts w:hint="cs"/>
          <w:rtl/>
        </w:rPr>
        <w:t>פניה, השני מאחוריה, השלישי לצדה</w:t>
      </w:r>
      <w:r w:rsidR="00AA38A7">
        <w:rPr>
          <w:rFonts w:hint="cs"/>
          <w:rtl/>
        </w:rPr>
        <w:t xml:space="preserve"> וכן הלאה. כל </w:t>
      </w:r>
      <w:r w:rsidR="00CA4424">
        <w:rPr>
          <w:rFonts w:hint="cs"/>
          <w:rtl/>
        </w:rPr>
        <w:t>חוקר</w:t>
      </w:r>
      <w:r w:rsidR="00AA38A7">
        <w:rPr>
          <w:rFonts w:hint="cs"/>
          <w:rtl/>
        </w:rPr>
        <w:t xml:space="preserve"> שואל אותה מעת לעת שאלה מכיוון אחר. בשלב מסוים אחד החוקרים </w:t>
      </w:r>
      <w:r w:rsidR="00A20947">
        <w:rPr>
          <w:rFonts w:hint="cs"/>
          <w:rtl/>
        </w:rPr>
        <w:t xml:space="preserve">מרים </w:t>
      </w:r>
      <w:r w:rsidR="00490CFA">
        <w:rPr>
          <w:rFonts w:hint="cs"/>
          <w:rtl/>
        </w:rPr>
        <w:t>את קולו ו</w:t>
      </w:r>
      <w:r w:rsidR="002C3BFC">
        <w:rPr>
          <w:rFonts w:hint="cs"/>
          <w:rtl/>
        </w:rPr>
        <w:t xml:space="preserve">אף </w:t>
      </w:r>
      <w:r w:rsidR="00490CFA">
        <w:rPr>
          <w:rFonts w:hint="cs"/>
          <w:rtl/>
        </w:rPr>
        <w:t>דופק על השולחן.</w:t>
      </w:r>
    </w:p>
    <w:p w:rsidR="00490CFA" w:rsidRDefault="00490CFA" w:rsidP="00490CFA">
      <w:pPr>
        <w:pStyle w:val="Ruller4"/>
        <w:numPr>
          <w:ilvl w:val="0"/>
          <w:numId w:val="0"/>
        </w:numPr>
        <w:rPr>
          <w:rtl/>
        </w:rPr>
      </w:pPr>
    </w:p>
    <w:p w:rsidR="00AA38A7" w:rsidRDefault="00490CFA" w:rsidP="002C3BFC">
      <w:pPr>
        <w:pStyle w:val="Ruller4"/>
        <w:numPr>
          <w:ilvl w:val="0"/>
          <w:numId w:val="0"/>
        </w:numPr>
      </w:pPr>
      <w:r>
        <w:rPr>
          <w:rtl/>
        </w:rPr>
        <w:tab/>
      </w:r>
      <w:r w:rsidR="00AA38A7">
        <w:rPr>
          <w:rFonts w:hint="cs"/>
          <w:rtl/>
        </w:rPr>
        <w:t xml:space="preserve">אף אם התיעוד מלמד כי </w:t>
      </w:r>
      <w:r w:rsidR="00FC06CA">
        <w:rPr>
          <w:rFonts w:hint="cs"/>
          <w:rtl/>
        </w:rPr>
        <w:t xml:space="preserve">בנסיבות העניין </w:t>
      </w:r>
      <w:r w:rsidR="00CA4424">
        <w:rPr>
          <w:rFonts w:hint="cs"/>
          <w:rtl/>
        </w:rPr>
        <w:t>ייתכן שהיה</w:t>
      </w:r>
      <w:r w:rsidR="00AA38A7">
        <w:rPr>
          <w:rFonts w:hint="cs"/>
          <w:rtl/>
        </w:rPr>
        <w:t xml:space="preserve"> מקום לחקור את האחות באופן שונה,</w:t>
      </w:r>
      <w:r w:rsidR="00F73AD3">
        <w:rPr>
          <w:rFonts w:hint="cs"/>
          <w:rtl/>
        </w:rPr>
        <w:t xml:space="preserve"> מדוד יותר</w:t>
      </w:r>
      <w:r w:rsidR="002C3BFC">
        <w:rPr>
          <w:rFonts w:hint="cs"/>
          <w:rtl/>
        </w:rPr>
        <w:t xml:space="preserve"> ופחות המוני</w:t>
      </w:r>
      <w:r w:rsidR="00F73AD3">
        <w:rPr>
          <w:rFonts w:hint="cs"/>
          <w:rtl/>
        </w:rPr>
        <w:t>,</w:t>
      </w:r>
      <w:r w:rsidR="00AA38A7">
        <w:rPr>
          <w:rFonts w:hint="cs"/>
          <w:rtl/>
        </w:rPr>
        <w:t xml:space="preserve"> אין לפנינו פגם בעל משקל ממשי, אם בכלל. </w:t>
      </w:r>
      <w:r w:rsidR="00CA4424">
        <w:rPr>
          <w:rFonts w:hint="cs"/>
          <w:rtl/>
        </w:rPr>
        <w:t>מכל מקום</w:t>
      </w:r>
      <w:r w:rsidR="00A20947">
        <w:rPr>
          <w:rFonts w:hint="cs"/>
          <w:rtl/>
        </w:rPr>
        <w:t xml:space="preserve">, </w:t>
      </w:r>
      <w:r w:rsidR="00177C67">
        <w:rPr>
          <w:rFonts w:hint="cs"/>
          <w:rtl/>
        </w:rPr>
        <w:t>הרא</w:t>
      </w:r>
      <w:r w:rsidR="0077792B">
        <w:rPr>
          <w:rFonts w:hint="cs"/>
          <w:rtl/>
        </w:rPr>
        <w:t xml:space="preserve">יה </w:t>
      </w:r>
      <w:r w:rsidR="00A20947">
        <w:rPr>
          <w:rFonts w:hint="cs"/>
          <w:rtl/>
        </w:rPr>
        <w:t xml:space="preserve">המרכזית </w:t>
      </w:r>
      <w:r w:rsidR="0077792B">
        <w:rPr>
          <w:rFonts w:hint="cs"/>
          <w:rtl/>
        </w:rPr>
        <w:t>שעליה הסתמך בעניין</w:t>
      </w:r>
      <w:r w:rsidR="00C015D8">
        <w:rPr>
          <w:rFonts w:hint="cs"/>
          <w:rtl/>
        </w:rPr>
        <w:t xml:space="preserve"> זה בית המשפט המחוזי הייתה עדות</w:t>
      </w:r>
      <w:r w:rsidR="0077792B">
        <w:rPr>
          <w:rFonts w:hint="cs"/>
          <w:rtl/>
        </w:rPr>
        <w:t xml:space="preserve"> האחות בבית המשפט, ולא </w:t>
      </w:r>
      <w:r w:rsidR="00C958E1">
        <w:rPr>
          <w:rFonts w:hint="cs"/>
          <w:rtl/>
        </w:rPr>
        <w:t>הדברים שמסרה בחקירתה</w:t>
      </w:r>
      <w:r w:rsidR="00A20947">
        <w:rPr>
          <w:rFonts w:hint="cs"/>
          <w:rtl/>
        </w:rPr>
        <w:t xml:space="preserve"> במשטרה</w:t>
      </w:r>
      <w:r w:rsidR="00AA4DFD">
        <w:rPr>
          <w:rFonts w:hint="cs"/>
          <w:rtl/>
        </w:rPr>
        <w:t xml:space="preserve">. יתרה מזאת, </w:t>
      </w:r>
      <w:r w:rsidR="00C958E1">
        <w:rPr>
          <w:rFonts w:hint="cs"/>
          <w:rtl/>
        </w:rPr>
        <w:t xml:space="preserve">האחות </w:t>
      </w:r>
      <w:r w:rsidR="00FC3496">
        <w:rPr>
          <w:rFonts w:hint="cs"/>
          <w:rtl/>
        </w:rPr>
        <w:t xml:space="preserve">כלל </w:t>
      </w:r>
      <w:r w:rsidR="00C958E1">
        <w:rPr>
          <w:rFonts w:hint="cs"/>
          <w:rtl/>
        </w:rPr>
        <w:t>לא טענה</w:t>
      </w:r>
      <w:r w:rsidR="009F34BC">
        <w:rPr>
          <w:rFonts w:hint="cs"/>
          <w:rtl/>
        </w:rPr>
        <w:t xml:space="preserve"> כי מסרה </w:t>
      </w:r>
      <w:r w:rsidR="00AA4DFD">
        <w:rPr>
          <w:rFonts w:hint="cs"/>
          <w:rtl/>
        </w:rPr>
        <w:t>את הודעותיה במשטרה בלחץ החוקרים</w:t>
      </w:r>
      <w:r w:rsidR="009F34BC">
        <w:rPr>
          <w:rFonts w:hint="cs"/>
          <w:rtl/>
        </w:rPr>
        <w:t xml:space="preserve"> או כי חשה </w:t>
      </w:r>
      <w:r w:rsidR="0013088B">
        <w:rPr>
          <w:rFonts w:hint="cs"/>
          <w:rtl/>
        </w:rPr>
        <w:t>שנעשה כלפיה שימוש בהפח</w:t>
      </w:r>
      <w:r w:rsidR="00F73AD3">
        <w:rPr>
          <w:rFonts w:hint="cs"/>
          <w:rtl/>
        </w:rPr>
        <w:t>ד</w:t>
      </w:r>
      <w:r w:rsidR="0013088B">
        <w:rPr>
          <w:rFonts w:hint="cs"/>
          <w:rtl/>
        </w:rPr>
        <w:t>ות או איומים</w:t>
      </w:r>
      <w:r w:rsidR="009F34BC">
        <w:rPr>
          <w:rFonts w:hint="cs"/>
          <w:rtl/>
        </w:rPr>
        <w:t>. האחות טענה</w:t>
      </w:r>
      <w:r w:rsidR="00FC06CA">
        <w:rPr>
          <w:rFonts w:hint="cs"/>
          <w:rtl/>
        </w:rPr>
        <w:t>,</w:t>
      </w:r>
      <w:r w:rsidR="00710F23">
        <w:rPr>
          <w:rFonts w:hint="cs"/>
          <w:rtl/>
        </w:rPr>
        <w:t xml:space="preserve"> וגם זאת</w:t>
      </w:r>
      <w:r w:rsidR="00FC06CA">
        <w:rPr>
          <w:rFonts w:hint="cs"/>
          <w:rtl/>
        </w:rPr>
        <w:t xml:space="preserve"> רק</w:t>
      </w:r>
      <w:r w:rsidR="009F34BC">
        <w:rPr>
          <w:rFonts w:hint="cs"/>
          <w:rtl/>
        </w:rPr>
        <w:t xml:space="preserve"> במסגרת חקירתה הנגדית</w:t>
      </w:r>
      <w:r w:rsidR="00710F23">
        <w:rPr>
          <w:rFonts w:hint="cs"/>
          <w:rtl/>
        </w:rPr>
        <w:t>,</w:t>
      </w:r>
      <w:r w:rsidR="009F34BC">
        <w:rPr>
          <w:rFonts w:hint="cs"/>
          <w:rtl/>
        </w:rPr>
        <w:t xml:space="preserve"> כי חשש</w:t>
      </w:r>
      <w:r w:rsidR="00710F23">
        <w:rPr>
          <w:rFonts w:hint="cs"/>
          <w:rtl/>
        </w:rPr>
        <w:t>ה דווקא</w:t>
      </w:r>
      <w:r w:rsidR="009F34BC">
        <w:rPr>
          <w:rFonts w:hint="cs"/>
          <w:rtl/>
        </w:rPr>
        <w:t xml:space="preserve"> </w:t>
      </w:r>
      <w:r w:rsidR="00710F23">
        <w:rPr>
          <w:rFonts w:hint="cs"/>
          <w:rtl/>
        </w:rPr>
        <w:t>מ</w:t>
      </w:r>
      <w:r w:rsidR="009F34BC">
        <w:rPr>
          <w:rFonts w:hint="cs"/>
          <w:rtl/>
        </w:rPr>
        <w:t xml:space="preserve">בני משפחתה, ובפרט </w:t>
      </w:r>
      <w:r w:rsidR="00AA4DFD">
        <w:rPr>
          <w:rFonts w:hint="cs"/>
          <w:rtl/>
        </w:rPr>
        <w:t>מ</w:t>
      </w:r>
      <w:r w:rsidR="009F34BC">
        <w:rPr>
          <w:rFonts w:hint="cs"/>
          <w:rtl/>
        </w:rPr>
        <w:t xml:space="preserve">בעלה. </w:t>
      </w:r>
      <w:r w:rsidR="00710F23">
        <w:rPr>
          <w:rFonts w:hint="cs"/>
          <w:rtl/>
        </w:rPr>
        <w:t>אולם, כאמור,</w:t>
      </w:r>
      <w:r w:rsidR="00FC06CA">
        <w:rPr>
          <w:rFonts w:hint="cs"/>
          <w:rtl/>
        </w:rPr>
        <w:t xml:space="preserve"> טענה זו </w:t>
      </w:r>
      <w:r w:rsidR="00AA4DFD">
        <w:rPr>
          <w:rFonts w:hint="cs"/>
          <w:rtl/>
        </w:rPr>
        <w:t>נדחתה</w:t>
      </w:r>
      <w:r w:rsidR="00710F23">
        <w:rPr>
          <w:rFonts w:hint="cs"/>
          <w:rtl/>
        </w:rPr>
        <w:t xml:space="preserve"> </w:t>
      </w:r>
      <w:r w:rsidR="000A0469">
        <w:rPr>
          <w:rFonts w:hint="cs"/>
          <w:rtl/>
        </w:rPr>
        <w:t>בהכרעת הדין</w:t>
      </w:r>
      <w:r w:rsidR="00FC06CA">
        <w:rPr>
          <w:rFonts w:hint="cs"/>
          <w:rtl/>
        </w:rPr>
        <w:t xml:space="preserve">. </w:t>
      </w:r>
      <w:r w:rsidR="00C958E1">
        <w:rPr>
          <w:rFonts w:hint="cs"/>
          <w:rtl/>
        </w:rPr>
        <w:t xml:space="preserve">משכך, </w:t>
      </w:r>
      <w:r w:rsidR="002C3BFC">
        <w:rPr>
          <w:rFonts w:hint="cs"/>
          <w:rtl/>
        </w:rPr>
        <w:t xml:space="preserve">אין מסד התומך בטענת המערער לעניין זה. </w:t>
      </w:r>
    </w:p>
    <w:p w:rsidR="00AA38A7" w:rsidRDefault="00AA38A7" w:rsidP="00AA38A7">
      <w:pPr>
        <w:pStyle w:val="Ruller4"/>
        <w:numPr>
          <w:ilvl w:val="0"/>
          <w:numId w:val="0"/>
        </w:numPr>
        <w:rPr>
          <w:rtl/>
        </w:rPr>
      </w:pPr>
    </w:p>
    <w:p w:rsidR="0077792B" w:rsidRDefault="00AA38A7" w:rsidP="001170F9">
      <w:pPr>
        <w:pStyle w:val="Ruller4"/>
        <w:numPr>
          <w:ilvl w:val="0"/>
          <w:numId w:val="0"/>
        </w:numPr>
        <w:rPr>
          <w:rtl/>
        </w:rPr>
      </w:pPr>
      <w:r>
        <w:rPr>
          <w:rtl/>
        </w:rPr>
        <w:tab/>
      </w:r>
      <w:r w:rsidR="00E9553A">
        <w:rPr>
          <w:rFonts w:hint="cs"/>
          <w:rtl/>
        </w:rPr>
        <w:t>באשר להשגות המערער בהתייחס</w:t>
      </w:r>
      <w:r w:rsidR="00C958E1">
        <w:rPr>
          <w:rFonts w:hint="cs"/>
          <w:rtl/>
        </w:rPr>
        <w:t xml:space="preserve"> לחיפוש שנע</w:t>
      </w:r>
      <w:r w:rsidR="00C22134">
        <w:rPr>
          <w:rFonts w:hint="cs"/>
          <w:rtl/>
        </w:rPr>
        <w:t>רך במכשיר הטלפון הנייד של האחות.</w:t>
      </w:r>
      <w:r w:rsidR="00C958E1">
        <w:rPr>
          <w:rFonts w:hint="cs"/>
          <w:rtl/>
        </w:rPr>
        <w:t xml:space="preserve"> גם אם </w:t>
      </w:r>
      <w:r w:rsidR="00A20947">
        <w:rPr>
          <w:rFonts w:hint="cs"/>
          <w:rtl/>
        </w:rPr>
        <w:t>היה ממש בטענות אלו</w:t>
      </w:r>
      <w:r w:rsidR="00AA4DFD">
        <w:rPr>
          <w:rFonts w:hint="cs"/>
          <w:rtl/>
        </w:rPr>
        <w:t>,</w:t>
      </w:r>
      <w:r w:rsidR="00C958E1">
        <w:rPr>
          <w:rFonts w:hint="cs"/>
          <w:rtl/>
        </w:rPr>
        <w:t xml:space="preserve"> ואיני קובע </w:t>
      </w:r>
      <w:r w:rsidR="00E9553A">
        <w:rPr>
          <w:rFonts w:hint="cs"/>
          <w:rtl/>
        </w:rPr>
        <w:t>כך</w:t>
      </w:r>
      <w:r w:rsidR="00C958E1">
        <w:rPr>
          <w:rFonts w:hint="cs"/>
          <w:rtl/>
        </w:rPr>
        <w:t xml:space="preserve">, </w:t>
      </w:r>
      <w:r w:rsidR="00A20947">
        <w:rPr>
          <w:rFonts w:hint="cs"/>
          <w:rtl/>
        </w:rPr>
        <w:t xml:space="preserve">הן </w:t>
      </w:r>
      <w:r w:rsidR="00C958E1">
        <w:rPr>
          <w:rFonts w:hint="cs"/>
          <w:rtl/>
        </w:rPr>
        <w:t xml:space="preserve">אינן </w:t>
      </w:r>
      <w:r w:rsidR="008D5508">
        <w:rPr>
          <w:rFonts w:hint="cs"/>
          <w:rtl/>
        </w:rPr>
        <w:t>משפיעות על</w:t>
      </w:r>
      <w:r w:rsidR="00C958E1">
        <w:rPr>
          <w:rFonts w:hint="cs"/>
          <w:rtl/>
        </w:rPr>
        <w:t xml:space="preserve"> ענייננו מאחר ש</w:t>
      </w:r>
      <w:r w:rsidR="00EB1925">
        <w:rPr>
          <w:rFonts w:hint="cs"/>
          <w:rtl/>
        </w:rPr>
        <w:t xml:space="preserve">המדינה לא ביקשה להסתמך על ראיה </w:t>
      </w:r>
      <w:r w:rsidR="00FC3496">
        <w:rPr>
          <w:rFonts w:hint="cs"/>
          <w:rtl/>
        </w:rPr>
        <w:t xml:space="preserve">כלשהי </w:t>
      </w:r>
      <w:r w:rsidR="00EB1925">
        <w:rPr>
          <w:rFonts w:hint="cs"/>
          <w:rtl/>
        </w:rPr>
        <w:t xml:space="preserve">שהופקה מחיפוש זה. </w:t>
      </w:r>
      <w:r w:rsidR="00FC3496">
        <w:rPr>
          <w:rFonts w:hint="cs"/>
          <w:rtl/>
        </w:rPr>
        <w:t xml:space="preserve">משכך, פסילת תוצריו של </w:t>
      </w:r>
      <w:r w:rsidR="00A20947">
        <w:rPr>
          <w:rFonts w:hint="cs"/>
          <w:rtl/>
        </w:rPr>
        <w:t>ה</w:t>
      </w:r>
      <w:r w:rsidR="00FC3496">
        <w:rPr>
          <w:rFonts w:hint="cs"/>
          <w:rtl/>
        </w:rPr>
        <w:t xml:space="preserve">חיפוש, ככל שאראה בו </w:t>
      </w:r>
      <w:r w:rsidR="00A20947">
        <w:rPr>
          <w:rFonts w:hint="cs"/>
          <w:rtl/>
        </w:rPr>
        <w:t>חיפוש בלתי חוקי</w:t>
      </w:r>
      <w:r w:rsidR="00FC3496">
        <w:rPr>
          <w:rFonts w:hint="cs"/>
          <w:rtl/>
        </w:rPr>
        <w:t xml:space="preserve">, לא תשליך </w:t>
      </w:r>
      <w:r w:rsidR="00CA4424">
        <w:rPr>
          <w:rFonts w:hint="cs"/>
          <w:rtl/>
        </w:rPr>
        <w:t xml:space="preserve">כלל </w:t>
      </w:r>
      <w:r w:rsidR="00FC3496">
        <w:rPr>
          <w:rFonts w:hint="cs"/>
          <w:rtl/>
        </w:rPr>
        <w:t xml:space="preserve">על חומר הראיות </w:t>
      </w:r>
      <w:r w:rsidR="00CA4424">
        <w:rPr>
          <w:rFonts w:hint="cs"/>
          <w:rtl/>
        </w:rPr>
        <w:t>המבסס את</w:t>
      </w:r>
      <w:r w:rsidR="00FC3496">
        <w:rPr>
          <w:rFonts w:hint="cs"/>
          <w:rtl/>
        </w:rPr>
        <w:t xml:space="preserve"> אשמת המערער. </w:t>
      </w:r>
    </w:p>
    <w:p w:rsidR="0077792B" w:rsidRPr="0077792B" w:rsidRDefault="0077792B" w:rsidP="0077792B">
      <w:pPr>
        <w:pStyle w:val="Ruller40"/>
      </w:pPr>
    </w:p>
    <w:p w:rsidR="00177C67" w:rsidRDefault="0013088B" w:rsidP="00177C67">
      <w:pPr>
        <w:pStyle w:val="Ruller4"/>
      </w:pPr>
      <w:r>
        <w:rPr>
          <w:rFonts w:hint="cs"/>
          <w:rtl/>
        </w:rPr>
        <w:t xml:space="preserve">גם במישור המשקל הראייתי שניתן לעדות האחות איני רואה לקבל את טענות המערער. כאמור, בחקירתה הראשית </w:t>
      </w:r>
      <w:r w:rsidR="00E9553A">
        <w:rPr>
          <w:rFonts w:hint="cs"/>
          <w:rtl/>
        </w:rPr>
        <w:t xml:space="preserve">בבית המשפט </w:t>
      </w:r>
      <w:r>
        <w:rPr>
          <w:rFonts w:hint="cs"/>
          <w:rtl/>
        </w:rPr>
        <w:t xml:space="preserve">האחות העידה באופן המתיישב עם הדברים שמסרה בחקירתה במשטרה, ואולם בחקירתה הנגדית נסוגה מכך והוכרזה כעדה עוינת. משכך, בית המשפט המחוזי </w:t>
      </w:r>
      <w:r w:rsidR="00177C67">
        <w:rPr>
          <w:rFonts w:hint="cs"/>
          <w:rtl/>
        </w:rPr>
        <w:t xml:space="preserve">נדרש </w:t>
      </w:r>
      <w:r>
        <w:rPr>
          <w:rFonts w:hint="cs"/>
          <w:rtl/>
        </w:rPr>
        <w:t xml:space="preserve">להכריע אילו מבין גרסאות האחות ראויות לאמון. התרשמות בית המשפט המחוזי </w:t>
      </w:r>
      <w:r w:rsidR="008F1722">
        <w:rPr>
          <w:rFonts w:hint="cs"/>
          <w:rtl/>
        </w:rPr>
        <w:t xml:space="preserve">הייתה כי </w:t>
      </w:r>
      <w:r w:rsidR="00C22134">
        <w:rPr>
          <w:rFonts w:hint="cs"/>
          <w:rtl/>
        </w:rPr>
        <w:t xml:space="preserve">"ניכר היה כי האחות אינה דוברת אמת דווקא בחקירה הנגדית"; כי קשה היה </w:t>
      </w:r>
      <w:r w:rsidR="007B439C">
        <w:rPr>
          <w:rFonts w:hint="cs"/>
          <w:rtl/>
        </w:rPr>
        <w:t xml:space="preserve">להשתחרר מהרושם שבחקירתה הנגדית "[...] </w:t>
      </w:r>
      <w:r w:rsidR="00C22134">
        <w:rPr>
          <w:rFonts w:hint="cs"/>
          <w:rtl/>
        </w:rPr>
        <w:lastRenderedPageBreak/>
        <w:t>גמ</w:t>
      </w:r>
      <w:r w:rsidR="00177C67">
        <w:rPr>
          <w:rFonts w:hint="cs"/>
          <w:rtl/>
        </w:rPr>
        <w:t>ל</w:t>
      </w:r>
      <w:r w:rsidR="00C22134">
        <w:rPr>
          <w:rFonts w:hint="cs"/>
          <w:rtl/>
        </w:rPr>
        <w:t xml:space="preserve">ה בליבה להסכים עם כל מה </w:t>
      </w:r>
      <w:r w:rsidR="00C22134" w:rsidRPr="00E25FB9">
        <w:rPr>
          <w:rFonts w:hint="cs"/>
          <w:rtl/>
        </w:rPr>
        <w:t>שיאמר הסנגור"; וכי יש להעד</w:t>
      </w:r>
      <w:r w:rsidR="007B439C" w:rsidRPr="00E25FB9">
        <w:rPr>
          <w:rFonts w:hint="cs"/>
          <w:rtl/>
        </w:rPr>
        <w:t xml:space="preserve">יף את הגרסה שמסרה </w:t>
      </w:r>
      <w:r w:rsidR="00A76107">
        <w:rPr>
          <w:rFonts w:hint="cs"/>
          <w:rtl/>
        </w:rPr>
        <w:t xml:space="preserve">במסגרת </w:t>
      </w:r>
      <w:r w:rsidR="007B439C" w:rsidRPr="00E25FB9">
        <w:rPr>
          <w:rFonts w:hint="cs"/>
          <w:rtl/>
        </w:rPr>
        <w:t>החקירה הראשית</w:t>
      </w:r>
      <w:r w:rsidR="00177C67">
        <w:rPr>
          <w:rFonts w:hint="cs"/>
          <w:rtl/>
        </w:rPr>
        <w:t>.</w:t>
      </w:r>
    </w:p>
    <w:p w:rsidR="00177C67" w:rsidRDefault="00177C67" w:rsidP="00177C67">
      <w:pPr>
        <w:pStyle w:val="Ruller4"/>
        <w:numPr>
          <w:ilvl w:val="0"/>
          <w:numId w:val="0"/>
        </w:numPr>
        <w:rPr>
          <w:rtl/>
        </w:rPr>
      </w:pPr>
    </w:p>
    <w:p w:rsidR="001A4C3E" w:rsidRDefault="00177C67" w:rsidP="00E9553A">
      <w:pPr>
        <w:pStyle w:val="Ruller4"/>
        <w:numPr>
          <w:ilvl w:val="0"/>
          <w:numId w:val="0"/>
        </w:numPr>
        <w:rPr>
          <w:rtl/>
        </w:rPr>
      </w:pPr>
      <w:r>
        <w:rPr>
          <w:rtl/>
        </w:rPr>
        <w:tab/>
      </w:r>
      <w:r w:rsidR="00E9553A">
        <w:rPr>
          <w:rFonts w:hint="cs"/>
          <w:rtl/>
        </w:rPr>
        <w:t>אין לי אלא לשוב ולציין את שכתבתי במקרה אחר</w:t>
      </w:r>
      <w:r w:rsidR="00E25FB9" w:rsidRPr="001A4C3E">
        <w:rPr>
          <w:rFonts w:hint="cs"/>
          <w:rtl/>
        </w:rPr>
        <w:t xml:space="preserve">: </w:t>
      </w:r>
      <w:r w:rsidR="00E25FB9" w:rsidRPr="001A4C3E">
        <w:rPr>
          <w:rtl/>
        </w:rPr>
        <w:t>"משהתרשמה הערכאה הדיונית כי הגרסה אותה השמיעו חלק מהעדים בעדותם לפניה היא חסרת אמינות ומהימנות, והעדיפה את הגרסה אותה מסרו בחקירותיהם במשטרה, יש להציג נימוק כבד משקל להתערבות במסקנתה זו</w:t>
      </w:r>
      <w:r w:rsidR="00E25FB9" w:rsidRPr="001A4C3E">
        <w:rPr>
          <w:rFonts w:hint="cs"/>
          <w:rtl/>
        </w:rPr>
        <w:t>"</w:t>
      </w:r>
      <w:r w:rsidR="00E25FB9">
        <w:rPr>
          <w:rFonts w:hint="cs"/>
          <w:rtl/>
        </w:rPr>
        <w:t xml:space="preserve"> (</w:t>
      </w:r>
      <w:r w:rsidR="00E25FB9" w:rsidRPr="00E25FB9">
        <w:rPr>
          <w:rtl/>
        </w:rPr>
        <w:t>ע"פ 6322/20 </w:t>
      </w:r>
      <w:proofErr w:type="spellStart"/>
      <w:r w:rsidR="00E25FB9" w:rsidRPr="00E25FB9">
        <w:rPr>
          <w:rFonts w:ascii="Century" w:hAnsi="Century" w:cs="Miriam"/>
          <w:b/>
          <w:spacing w:val="0"/>
          <w:sz w:val="22"/>
          <w:szCs w:val="24"/>
          <w:rtl/>
        </w:rPr>
        <w:t>רחאל</w:t>
      </w:r>
      <w:proofErr w:type="spellEnd"/>
      <w:r w:rsidR="00E25FB9" w:rsidRPr="00E25FB9">
        <w:rPr>
          <w:rFonts w:ascii="Century" w:hAnsi="Century" w:cs="Miriam"/>
          <w:b/>
          <w:spacing w:val="0"/>
          <w:sz w:val="22"/>
          <w:szCs w:val="24"/>
          <w:rtl/>
        </w:rPr>
        <w:t xml:space="preserve"> נ' מדינת ישראל</w:t>
      </w:r>
      <w:r w:rsidR="000A1B00">
        <w:rPr>
          <w:rFonts w:hint="cs"/>
          <w:rtl/>
        </w:rPr>
        <w:t xml:space="preserve">, פסקה </w:t>
      </w:r>
      <w:r w:rsidR="001A4C3E">
        <w:rPr>
          <w:rFonts w:hint="cs"/>
          <w:rtl/>
        </w:rPr>
        <w:t>27</w:t>
      </w:r>
      <w:r w:rsidR="000A1B00">
        <w:rPr>
          <w:rFonts w:hint="cs"/>
          <w:rtl/>
        </w:rPr>
        <w:t xml:space="preserve"> </w:t>
      </w:r>
      <w:r w:rsidR="00E25FB9" w:rsidRPr="00E25FB9">
        <w:rPr>
          <w:rtl/>
        </w:rPr>
        <w:t>(</w:t>
      </w:r>
      <w:r w:rsidR="00E25FB9">
        <w:rPr>
          <w:rFonts w:hint="cs"/>
          <w:rtl/>
        </w:rPr>
        <w:t>18.9.2022</w:t>
      </w:r>
      <w:r w:rsidR="00E25FB9" w:rsidRPr="00E25FB9">
        <w:rPr>
          <w:rtl/>
        </w:rPr>
        <w:t>)</w:t>
      </w:r>
      <w:r w:rsidR="00E25FB9">
        <w:rPr>
          <w:rFonts w:hint="cs"/>
          <w:rtl/>
        </w:rPr>
        <w:t>)</w:t>
      </w:r>
      <w:r w:rsidR="00E25FB9" w:rsidRPr="00E25FB9">
        <w:rPr>
          <w:rtl/>
        </w:rPr>
        <w:t>‏‏</w:t>
      </w:r>
      <w:r w:rsidR="00E25FB9" w:rsidRPr="00E25FB9">
        <w:rPr>
          <w:rFonts w:hint="cs"/>
          <w:rtl/>
        </w:rPr>
        <w:t>.</w:t>
      </w:r>
      <w:r w:rsidR="00E25FB9">
        <w:rPr>
          <w:rFonts w:hint="cs"/>
          <w:rtl/>
        </w:rPr>
        <w:t xml:space="preserve"> דברים אלו חלים ביתר שאת בענייננו, שבו רק בחקירתה הנגדית סטתה האחות מגרסתה במשטרה ומהדברים שמסרה בעדותה הראשית. לא אחת בית המשפט נדרש לברור מבין גרסאות שונות שמשמיע עד מסוים, ולעניין זה לערכאה הדיונית יתרון ניכר. </w:t>
      </w:r>
      <w:r w:rsidR="001A4C3E">
        <w:rPr>
          <w:rFonts w:hint="cs"/>
          <w:rtl/>
        </w:rPr>
        <w:t xml:space="preserve">ראוי לציין את שנקבע </w:t>
      </w:r>
      <w:r w:rsidR="00E9553A">
        <w:rPr>
          <w:rFonts w:hint="cs"/>
          <w:rtl/>
        </w:rPr>
        <w:t>בעבר, והדברים יפים גם לענייננו</w:t>
      </w:r>
      <w:r w:rsidR="001A4C3E">
        <w:rPr>
          <w:rFonts w:hint="cs"/>
          <w:rtl/>
        </w:rPr>
        <w:t>:</w:t>
      </w:r>
    </w:p>
    <w:p w:rsidR="001A4C3E" w:rsidRDefault="001A4C3E" w:rsidP="001A4C3E">
      <w:pPr>
        <w:pStyle w:val="Ruller4"/>
        <w:numPr>
          <w:ilvl w:val="0"/>
          <w:numId w:val="0"/>
        </w:numPr>
        <w:rPr>
          <w:rtl/>
        </w:rPr>
      </w:pPr>
    </w:p>
    <w:p w:rsidR="001A4C3E" w:rsidRPr="001A4C3E" w:rsidRDefault="00F34365" w:rsidP="005C6189">
      <w:pPr>
        <w:pStyle w:val="Ruller5"/>
        <w:rPr>
          <w:rtl/>
        </w:rPr>
      </w:pPr>
      <w:hyperlink r:id="rId9" w:history="1">
        <w:r w:rsidR="001A4C3E">
          <w:rPr>
            <w:rStyle w:val="Hyperlink"/>
            <w:sz w:val="27"/>
            <w:szCs w:val="27"/>
            <w:rtl/>
          </w:rPr>
          <w:t>‏</w:t>
        </w:r>
      </w:hyperlink>
      <w:r w:rsidR="001A4C3E">
        <w:rPr>
          <w:rtl/>
        </w:rPr>
        <w:t xml:space="preserve">‏"אל העובדה הפסיכולוגית הפשוטה </w:t>
      </w:r>
      <w:proofErr w:type="spellStart"/>
      <w:r w:rsidR="001A4C3E">
        <w:rPr>
          <w:rtl/>
        </w:rPr>
        <w:t>שלענין</w:t>
      </w:r>
      <w:proofErr w:type="spellEnd"/>
      <w:r w:rsidR="001A4C3E">
        <w:rPr>
          <w:rtl/>
        </w:rPr>
        <w:t xml:space="preserve"> חיפוש האמת וקביעתה, עדיפה עדות מוקדמת על פני עדות מאוחרת, מצטרפת עובדה נוספת הנלמדת </w:t>
      </w:r>
      <w:proofErr w:type="spellStart"/>
      <w:r w:rsidR="001A4C3E">
        <w:rPr>
          <w:rtl/>
        </w:rPr>
        <w:t>מנסיון</w:t>
      </w:r>
      <w:proofErr w:type="spellEnd"/>
      <w:r w:rsidR="001A4C3E">
        <w:rPr>
          <w:rtl/>
        </w:rPr>
        <w:t xml:space="preserve"> החיים, והיא שאם חוזר בו העד מעדותו המקורית ומעיד את היפוכה, אין הוא עושה זאת בדרך כלל כדי לתקן טעות שטעה בתום-לב, כי אם כדי להשיג מטרה אשר </w:t>
      </w:r>
      <w:r w:rsidR="005C6189">
        <w:rPr>
          <w:rFonts w:hint="cs"/>
          <w:rtl/>
        </w:rPr>
        <w:t>אין</w:t>
      </w:r>
      <w:r w:rsidR="001A4C3E">
        <w:rPr>
          <w:rtl/>
        </w:rPr>
        <w:t xml:space="preserve"> לה עם קביעת האמת ולא כלום - בין שפעלה עליו השפעתם של המעוניינים ונוגעים בדבר, בין שהוא מצפה לטובת הנאה לעצמו משינוי עדותו, ובין שעדותו החדשה רק הותאמה לצרכי המשפט</w:t>
      </w:r>
      <w:r w:rsidR="001A4C3E">
        <w:rPr>
          <w:rFonts w:hint="cs"/>
          <w:rtl/>
        </w:rPr>
        <w:t>" (</w:t>
      </w:r>
      <w:r w:rsidR="001A4C3E" w:rsidRPr="001A4C3E">
        <w:rPr>
          <w:rtl/>
        </w:rPr>
        <w:t>ע"פ 421/71 </w:t>
      </w:r>
      <w:proofErr w:type="spellStart"/>
      <w:r w:rsidR="001A4C3E" w:rsidRPr="001A4C3E">
        <w:rPr>
          <w:rFonts w:ascii="Century" w:hAnsi="Century" w:cs="Miriam"/>
          <w:b/>
          <w:spacing w:val="0"/>
          <w:szCs w:val="24"/>
          <w:rtl/>
        </w:rPr>
        <w:t>מימרן</w:t>
      </w:r>
      <w:proofErr w:type="spellEnd"/>
      <w:r w:rsidR="001A4C3E" w:rsidRPr="001A4C3E">
        <w:rPr>
          <w:rFonts w:ascii="Century" w:hAnsi="Century" w:cs="Miriam"/>
          <w:b/>
          <w:spacing w:val="0"/>
          <w:szCs w:val="24"/>
          <w:rtl/>
        </w:rPr>
        <w:t xml:space="preserve"> נ' מדינת ישראל</w:t>
      </w:r>
      <w:r w:rsidR="001A4C3E" w:rsidRPr="001A4C3E">
        <w:rPr>
          <w:rtl/>
        </w:rPr>
        <w:t xml:space="preserve">, </w:t>
      </w:r>
      <w:r w:rsidR="001A4C3E">
        <w:rPr>
          <w:rFonts w:hint="cs"/>
          <w:rtl/>
        </w:rPr>
        <w:t xml:space="preserve">פ"ד </w:t>
      </w:r>
      <w:proofErr w:type="spellStart"/>
      <w:r w:rsidR="001A4C3E">
        <w:rPr>
          <w:rtl/>
        </w:rPr>
        <w:t>כו</w:t>
      </w:r>
      <w:proofErr w:type="spellEnd"/>
      <w:r w:rsidR="001A4C3E">
        <w:rPr>
          <w:rtl/>
        </w:rPr>
        <w:t>(1) 281</w:t>
      </w:r>
      <w:r w:rsidR="001A4C3E">
        <w:rPr>
          <w:rFonts w:hint="cs"/>
          <w:rtl/>
        </w:rPr>
        <w:t xml:space="preserve">, </w:t>
      </w:r>
      <w:r w:rsidR="005C6189">
        <w:rPr>
          <w:rFonts w:hint="cs"/>
          <w:rtl/>
        </w:rPr>
        <w:t>287</w:t>
      </w:r>
      <w:r w:rsidR="001A4C3E">
        <w:rPr>
          <w:rFonts w:hint="cs"/>
          <w:rtl/>
        </w:rPr>
        <w:t xml:space="preserve"> </w:t>
      </w:r>
      <w:r w:rsidR="001A4C3E" w:rsidRPr="001A4C3E">
        <w:rPr>
          <w:rtl/>
        </w:rPr>
        <w:t>(1972)</w:t>
      </w:r>
      <w:r w:rsidR="001A4C3E">
        <w:rPr>
          <w:rFonts w:hint="cs"/>
          <w:rtl/>
        </w:rPr>
        <w:t xml:space="preserve">). </w:t>
      </w:r>
    </w:p>
    <w:p w:rsidR="001A4C3E" w:rsidRDefault="001A4C3E" w:rsidP="001A4C3E">
      <w:pPr>
        <w:pStyle w:val="Ruller4"/>
        <w:numPr>
          <w:ilvl w:val="0"/>
          <w:numId w:val="0"/>
        </w:numPr>
        <w:rPr>
          <w:rtl/>
        </w:rPr>
      </w:pPr>
    </w:p>
    <w:p w:rsidR="008F1722" w:rsidRDefault="00CA4424" w:rsidP="00CA4424">
      <w:pPr>
        <w:pStyle w:val="Ruller4"/>
      </w:pPr>
      <w:r>
        <w:rPr>
          <w:rFonts w:hint="cs"/>
          <w:rtl/>
        </w:rPr>
        <w:t>אם כך, גם בענייננו</w:t>
      </w:r>
      <w:r w:rsidR="001A4C3E">
        <w:rPr>
          <w:rFonts w:hint="cs"/>
          <w:rtl/>
        </w:rPr>
        <w:t xml:space="preserve"> אין </w:t>
      </w:r>
      <w:r w:rsidR="00E25FB9">
        <w:rPr>
          <w:rFonts w:hint="cs"/>
          <w:rtl/>
        </w:rPr>
        <w:t>עילה להת</w:t>
      </w:r>
      <w:r w:rsidR="001A4C3E">
        <w:rPr>
          <w:rFonts w:hint="cs"/>
          <w:rtl/>
        </w:rPr>
        <w:t xml:space="preserve">ערבות במסקנות בית המשפט המחוזי המבוססות על התרשמותו מעדות האחות בחקירתה הראשית אל מול </w:t>
      </w:r>
      <w:r>
        <w:rPr>
          <w:rFonts w:hint="cs"/>
          <w:rtl/>
        </w:rPr>
        <w:t>גרסתה</w:t>
      </w:r>
      <w:r w:rsidR="001A4C3E">
        <w:rPr>
          <w:rFonts w:hint="cs"/>
          <w:rtl/>
        </w:rPr>
        <w:t xml:space="preserve"> בחקירתה הנגדית, השוואתם לדברים שמסרה במשטרה, לעדות בעלה וליתר חומר הראיות. </w:t>
      </w:r>
    </w:p>
    <w:p w:rsidR="008F1722" w:rsidRPr="00E25FB9" w:rsidRDefault="008F1722" w:rsidP="009F53DB">
      <w:pPr>
        <w:pStyle w:val="Ruller4"/>
        <w:numPr>
          <w:ilvl w:val="0"/>
          <w:numId w:val="0"/>
        </w:numPr>
      </w:pPr>
    </w:p>
    <w:p w:rsidR="00004652" w:rsidRDefault="008F1722" w:rsidP="003849BD">
      <w:pPr>
        <w:pStyle w:val="Ruller4"/>
      </w:pPr>
      <w:r>
        <w:rPr>
          <w:rFonts w:hint="cs"/>
          <w:rtl/>
        </w:rPr>
        <w:t xml:space="preserve">אשר למחלוקת בדבר משמעות </w:t>
      </w:r>
      <w:r w:rsidR="00177C67">
        <w:rPr>
          <w:rFonts w:hint="cs"/>
          <w:rtl/>
        </w:rPr>
        <w:t>המילה "</w:t>
      </w:r>
      <w:proofErr w:type="spellStart"/>
      <w:r w:rsidR="002472EB">
        <w:rPr>
          <w:rFonts w:hint="cs"/>
          <w:rtl/>
        </w:rPr>
        <w:t>יקת</w:t>
      </w:r>
      <w:r w:rsidR="001A4C3E">
        <w:rPr>
          <w:rFonts w:hint="cs"/>
          <w:rtl/>
        </w:rPr>
        <w:t>ל</w:t>
      </w:r>
      <w:r w:rsidR="002472EB">
        <w:rPr>
          <w:rFonts w:hint="cs"/>
          <w:rtl/>
        </w:rPr>
        <w:t>הא</w:t>
      </w:r>
      <w:proofErr w:type="spellEnd"/>
      <w:r w:rsidR="00177C67">
        <w:rPr>
          <w:rFonts w:hint="cs"/>
          <w:rtl/>
        </w:rPr>
        <w:t>"</w:t>
      </w:r>
      <w:r w:rsidR="002472EB">
        <w:rPr>
          <w:rFonts w:hint="cs"/>
          <w:rtl/>
        </w:rPr>
        <w:t xml:space="preserve"> </w:t>
      </w:r>
      <w:r w:rsidR="002472EB">
        <w:rPr>
          <w:rtl/>
        </w:rPr>
        <w:t>–</w:t>
      </w:r>
      <w:r w:rsidR="002472EB">
        <w:rPr>
          <w:rFonts w:hint="cs"/>
          <w:rtl/>
        </w:rPr>
        <w:t xml:space="preserve"> </w:t>
      </w:r>
      <w:r w:rsidR="003849BD">
        <w:rPr>
          <w:rFonts w:hint="cs"/>
          <w:rtl/>
        </w:rPr>
        <w:t xml:space="preserve">כדובר השפה הערבית, </w:t>
      </w:r>
      <w:r>
        <w:rPr>
          <w:rFonts w:hint="cs"/>
          <w:rtl/>
        </w:rPr>
        <w:t>נכון אני להניח כי לא ניתן לקבוע באופן ברור האם כאשר המ</w:t>
      </w:r>
      <w:r w:rsidR="00004652">
        <w:rPr>
          <w:rFonts w:hint="cs"/>
          <w:rtl/>
        </w:rPr>
        <w:t xml:space="preserve">ערער עשה שימוש </w:t>
      </w:r>
      <w:r w:rsidR="003849BD">
        <w:rPr>
          <w:rFonts w:hint="cs"/>
          <w:rtl/>
        </w:rPr>
        <w:t>במילה זו</w:t>
      </w:r>
      <w:r w:rsidR="00004652">
        <w:rPr>
          <w:rFonts w:hint="cs"/>
          <w:rtl/>
        </w:rPr>
        <w:t xml:space="preserve"> התכוון </w:t>
      </w:r>
      <w:r w:rsidR="00ED0A71">
        <w:rPr>
          <w:rFonts w:hint="cs"/>
          <w:rtl/>
        </w:rPr>
        <w:t>ל"</w:t>
      </w:r>
      <w:r w:rsidR="002472EB">
        <w:rPr>
          <w:rFonts w:hint="cs"/>
          <w:rtl/>
        </w:rPr>
        <w:t>ל</w:t>
      </w:r>
      <w:r w:rsidR="00004652">
        <w:rPr>
          <w:rFonts w:hint="cs"/>
          <w:rtl/>
        </w:rPr>
        <w:t>הרוג</w:t>
      </w:r>
      <w:r w:rsidR="00ED0A71">
        <w:rPr>
          <w:rFonts w:hint="cs"/>
          <w:rtl/>
        </w:rPr>
        <w:t>"</w:t>
      </w:r>
      <w:r w:rsidR="00004652">
        <w:rPr>
          <w:rFonts w:hint="cs"/>
          <w:rtl/>
        </w:rPr>
        <w:t xml:space="preserve"> את המנוחה,</w:t>
      </w:r>
      <w:r>
        <w:rPr>
          <w:rFonts w:hint="cs"/>
          <w:rtl/>
        </w:rPr>
        <w:t xml:space="preserve"> או </w:t>
      </w:r>
      <w:r w:rsidR="002472EB">
        <w:rPr>
          <w:rFonts w:hint="cs"/>
          <w:rtl/>
        </w:rPr>
        <w:t>"להרביץ</w:t>
      </w:r>
      <w:r w:rsidR="00ED0A71">
        <w:rPr>
          <w:rFonts w:hint="cs"/>
          <w:rtl/>
        </w:rPr>
        <w:t>" למנוחה</w:t>
      </w:r>
      <w:r>
        <w:rPr>
          <w:rFonts w:hint="cs"/>
          <w:rtl/>
        </w:rPr>
        <w:t xml:space="preserve">. עם זאת, </w:t>
      </w:r>
      <w:r w:rsidR="000A0469">
        <w:rPr>
          <w:rFonts w:hint="cs"/>
          <w:rtl/>
        </w:rPr>
        <w:t>אין מדובר באמירה חד-</w:t>
      </w:r>
      <w:r w:rsidR="00435955">
        <w:rPr>
          <w:rFonts w:hint="cs"/>
          <w:rtl/>
        </w:rPr>
        <w:t>פעמית</w:t>
      </w:r>
      <w:r>
        <w:rPr>
          <w:rFonts w:hint="cs"/>
          <w:rtl/>
        </w:rPr>
        <w:t xml:space="preserve"> הניצבת כראי</w:t>
      </w:r>
      <w:r w:rsidR="00724F53">
        <w:rPr>
          <w:rFonts w:hint="cs"/>
          <w:rtl/>
        </w:rPr>
        <w:t>ה בודדת. מצטרפת לה אמירתו הנוספ</w:t>
      </w:r>
      <w:r>
        <w:rPr>
          <w:rFonts w:hint="cs"/>
          <w:rtl/>
        </w:rPr>
        <w:t xml:space="preserve">ת של המערער לאחותו </w:t>
      </w:r>
      <w:r w:rsidR="00662464">
        <w:rPr>
          <w:rFonts w:hint="cs"/>
          <w:rtl/>
        </w:rPr>
        <w:t xml:space="preserve">בדבר רצונו </w:t>
      </w:r>
      <w:r w:rsidR="00662464">
        <w:rPr>
          <w:rFonts w:ascii="Century" w:hAnsi="Century" w:cs="Miriam" w:hint="cs"/>
          <w:b/>
          <w:spacing w:val="0"/>
          <w:sz w:val="22"/>
          <w:szCs w:val="24"/>
          <w:rtl/>
        </w:rPr>
        <w:t>"</w:t>
      </w:r>
      <w:r w:rsidR="00662464" w:rsidRPr="00E76A94">
        <w:rPr>
          <w:rFonts w:ascii="Century" w:hAnsi="Century" w:cs="Miriam" w:hint="cs"/>
          <w:b/>
          <w:spacing w:val="0"/>
          <w:sz w:val="22"/>
          <w:szCs w:val="24"/>
          <w:rtl/>
        </w:rPr>
        <w:t>להתפטר מהזבל שיש אצלי</w:t>
      </w:r>
      <w:r w:rsidR="00662464">
        <w:rPr>
          <w:rFonts w:ascii="Century" w:hAnsi="Century" w:cs="Miriam" w:hint="cs"/>
          <w:b/>
          <w:spacing w:val="0"/>
          <w:sz w:val="22"/>
          <w:szCs w:val="24"/>
          <w:rtl/>
        </w:rPr>
        <w:t>"</w:t>
      </w:r>
      <w:r>
        <w:rPr>
          <w:rFonts w:hint="cs"/>
          <w:rtl/>
        </w:rPr>
        <w:t>; העובדה כי המערער הכה את המנוחה בעבר; השיחה המקדימה לקט</w:t>
      </w:r>
      <w:r w:rsidR="00CA4424">
        <w:rPr>
          <w:rFonts w:hint="cs"/>
          <w:rtl/>
        </w:rPr>
        <w:t xml:space="preserve">ינה (ועל כך ארחיב בהמשך); גרסת המערער </w:t>
      </w:r>
      <w:r w:rsidR="00662464">
        <w:rPr>
          <w:rFonts w:hint="cs"/>
          <w:rtl/>
        </w:rPr>
        <w:t>ביחס לאירוע ההמתה עצמו,</w:t>
      </w:r>
      <w:r>
        <w:rPr>
          <w:rFonts w:hint="cs"/>
          <w:rtl/>
        </w:rPr>
        <w:t xml:space="preserve"> </w:t>
      </w:r>
      <w:r w:rsidR="00435955">
        <w:rPr>
          <w:rFonts w:hint="cs"/>
          <w:rtl/>
        </w:rPr>
        <w:t xml:space="preserve">על </w:t>
      </w:r>
      <w:r w:rsidR="000A0469">
        <w:rPr>
          <w:rFonts w:hint="cs"/>
          <w:rtl/>
        </w:rPr>
        <w:t>קשייה הרבים</w:t>
      </w:r>
      <w:r w:rsidR="00177C67">
        <w:rPr>
          <w:rFonts w:hint="cs"/>
          <w:rtl/>
        </w:rPr>
        <w:t xml:space="preserve"> </w:t>
      </w:r>
      <w:r w:rsidR="00435955">
        <w:rPr>
          <w:rFonts w:hint="cs"/>
          <w:rtl/>
        </w:rPr>
        <w:t>עליהם עמדתי</w:t>
      </w:r>
      <w:r w:rsidR="00177C67">
        <w:rPr>
          <w:rFonts w:hint="cs"/>
          <w:rtl/>
        </w:rPr>
        <w:t xml:space="preserve"> לעיל</w:t>
      </w:r>
      <w:r w:rsidR="000A0469">
        <w:rPr>
          <w:rFonts w:hint="cs"/>
          <w:rtl/>
        </w:rPr>
        <w:t xml:space="preserve">; כמו גם </w:t>
      </w:r>
      <w:r>
        <w:rPr>
          <w:rFonts w:hint="cs"/>
          <w:rtl/>
        </w:rPr>
        <w:t>התנהל</w:t>
      </w:r>
      <w:r w:rsidR="00662464">
        <w:rPr>
          <w:rFonts w:hint="cs"/>
          <w:rtl/>
        </w:rPr>
        <w:t>ות</w:t>
      </w:r>
      <w:r>
        <w:rPr>
          <w:rFonts w:hint="cs"/>
          <w:rtl/>
        </w:rPr>
        <w:t xml:space="preserve"> המערער</w:t>
      </w:r>
      <w:r w:rsidR="00435955">
        <w:rPr>
          <w:rFonts w:hint="cs"/>
          <w:rtl/>
        </w:rPr>
        <w:t xml:space="preserve"> לאחר </w:t>
      </w:r>
      <w:r w:rsidR="000A0469">
        <w:rPr>
          <w:rFonts w:hint="cs"/>
          <w:rtl/>
        </w:rPr>
        <w:t>המתת המנוחה</w:t>
      </w:r>
      <w:r w:rsidR="00004652">
        <w:rPr>
          <w:rFonts w:hint="cs"/>
          <w:rtl/>
        </w:rPr>
        <w:t>.</w:t>
      </w:r>
    </w:p>
    <w:p w:rsidR="00004652" w:rsidRPr="002472EB" w:rsidRDefault="00004652" w:rsidP="00004652">
      <w:pPr>
        <w:pStyle w:val="Ruller4"/>
        <w:numPr>
          <w:ilvl w:val="0"/>
          <w:numId w:val="0"/>
        </w:numPr>
        <w:rPr>
          <w:rtl/>
        </w:rPr>
      </w:pPr>
    </w:p>
    <w:p w:rsidR="008F1722" w:rsidRDefault="00004652" w:rsidP="00C45F5B">
      <w:pPr>
        <w:pStyle w:val="Ruller4"/>
        <w:numPr>
          <w:ilvl w:val="0"/>
          <w:numId w:val="0"/>
        </w:numPr>
      </w:pPr>
      <w:r>
        <w:rPr>
          <w:rtl/>
        </w:rPr>
        <w:lastRenderedPageBreak/>
        <w:tab/>
      </w:r>
      <w:r>
        <w:rPr>
          <w:rFonts w:hint="cs"/>
          <w:rtl/>
        </w:rPr>
        <w:t>הנה כי כן, די לנו בראי</w:t>
      </w:r>
      <w:r w:rsidR="007B439C">
        <w:rPr>
          <w:rFonts w:hint="cs"/>
          <w:rtl/>
        </w:rPr>
        <w:t>ה</w:t>
      </w:r>
      <w:r w:rsidR="00AE3442">
        <w:rPr>
          <w:rFonts w:hint="cs"/>
          <w:rtl/>
        </w:rPr>
        <w:t xml:space="preserve"> זו </w:t>
      </w:r>
      <w:r w:rsidR="00AE3442">
        <w:rPr>
          <w:rtl/>
        </w:rPr>
        <w:t>–</w:t>
      </w:r>
      <w:r w:rsidR="00AE3442">
        <w:rPr>
          <w:rFonts w:hint="cs"/>
          <w:rtl/>
        </w:rPr>
        <w:t xml:space="preserve"> שימוש המערער במילה "</w:t>
      </w:r>
      <w:proofErr w:type="spellStart"/>
      <w:r w:rsidR="00AE3442">
        <w:rPr>
          <w:rFonts w:hint="cs"/>
          <w:rtl/>
        </w:rPr>
        <w:t>יקתלהא</w:t>
      </w:r>
      <w:proofErr w:type="spellEnd"/>
      <w:r w:rsidR="00AE3442">
        <w:rPr>
          <w:rFonts w:hint="cs"/>
          <w:rtl/>
        </w:rPr>
        <w:t xml:space="preserve">" </w:t>
      </w:r>
      <w:r w:rsidR="00AE3442">
        <w:rPr>
          <w:rtl/>
        </w:rPr>
        <w:t>–</w:t>
      </w:r>
      <w:r w:rsidR="00AE3442">
        <w:rPr>
          <w:rFonts w:hint="cs"/>
          <w:rtl/>
        </w:rPr>
        <w:t xml:space="preserve"> כדי ללמוד </w:t>
      </w:r>
      <w:r w:rsidR="007B439C">
        <w:rPr>
          <w:rFonts w:hint="cs"/>
          <w:rtl/>
        </w:rPr>
        <w:t>על כוונת</w:t>
      </w:r>
      <w:r w:rsidR="00AE3442">
        <w:rPr>
          <w:rFonts w:hint="cs"/>
          <w:rtl/>
        </w:rPr>
        <w:t>ו</w:t>
      </w:r>
      <w:r w:rsidR="007B439C">
        <w:rPr>
          <w:rFonts w:hint="cs"/>
          <w:rtl/>
        </w:rPr>
        <w:t xml:space="preserve"> </w:t>
      </w:r>
      <w:r w:rsidR="00C45F5B">
        <w:rPr>
          <w:rFonts w:hint="cs"/>
          <w:rtl/>
        </w:rPr>
        <w:t>לפגוע ב</w:t>
      </w:r>
      <w:r w:rsidR="007B439C">
        <w:rPr>
          <w:rFonts w:hint="cs"/>
          <w:rtl/>
        </w:rPr>
        <w:t>מנוחה</w:t>
      </w:r>
      <w:r w:rsidR="00AE3442">
        <w:rPr>
          <w:rFonts w:hint="cs"/>
          <w:rtl/>
        </w:rPr>
        <w:t>, ובכך</w:t>
      </w:r>
      <w:r w:rsidR="007B439C">
        <w:rPr>
          <w:rFonts w:hint="cs"/>
          <w:rtl/>
        </w:rPr>
        <w:t xml:space="preserve"> לשלול את </w:t>
      </w:r>
      <w:r w:rsidR="00C45F5B">
        <w:rPr>
          <w:rFonts w:hint="cs"/>
          <w:rtl/>
        </w:rPr>
        <w:t>ליבת</w:t>
      </w:r>
      <w:r w:rsidR="002472EB">
        <w:rPr>
          <w:rFonts w:hint="cs"/>
          <w:rtl/>
        </w:rPr>
        <w:t xml:space="preserve"> </w:t>
      </w:r>
      <w:r w:rsidR="007B439C">
        <w:rPr>
          <w:rFonts w:hint="cs"/>
          <w:rtl/>
        </w:rPr>
        <w:t xml:space="preserve">גרסתו ולחזק את יתר הראיות לחובתו. לא כל שכן, בהינתן תשובותיו המתחמקות </w:t>
      </w:r>
      <w:r w:rsidR="00177C67">
        <w:rPr>
          <w:rFonts w:hint="cs"/>
          <w:rtl/>
        </w:rPr>
        <w:t>גם ביחס לסוגיה זו ממש</w:t>
      </w:r>
      <w:r w:rsidR="00CA4424">
        <w:rPr>
          <w:rFonts w:hint="cs"/>
          <w:rtl/>
        </w:rPr>
        <w:t xml:space="preserve"> </w:t>
      </w:r>
      <w:r w:rsidR="00CA4424">
        <w:rPr>
          <w:rtl/>
        </w:rPr>
        <w:t>–</w:t>
      </w:r>
      <w:r w:rsidR="00CA4424">
        <w:rPr>
          <w:rFonts w:hint="cs"/>
          <w:rtl/>
        </w:rPr>
        <w:t xml:space="preserve"> </w:t>
      </w:r>
      <w:r>
        <w:rPr>
          <w:rFonts w:hint="cs"/>
          <w:rtl/>
        </w:rPr>
        <w:t>בחקירותיו במשטרה המערער כלל לא רצה להתייחס לשיחות שניהל עם אחותו עובר לאירוע</w:t>
      </w:r>
      <w:r w:rsidR="005C6189">
        <w:rPr>
          <w:rFonts w:hint="cs"/>
          <w:rtl/>
        </w:rPr>
        <w:t>;</w:t>
      </w:r>
      <w:r w:rsidR="00662464">
        <w:rPr>
          <w:rFonts w:hint="cs"/>
          <w:rtl/>
        </w:rPr>
        <w:t xml:space="preserve"> בעדותו בבית המשפט הכחיש כי עשה שימוש במונח זה בשיחות עם האחות (פרו' </w:t>
      </w:r>
      <w:r w:rsidR="00724F53">
        <w:rPr>
          <w:rFonts w:hint="cs"/>
          <w:rtl/>
        </w:rPr>
        <w:t>ה</w:t>
      </w:r>
      <w:r w:rsidR="00662464">
        <w:rPr>
          <w:rFonts w:hint="cs"/>
          <w:rtl/>
        </w:rPr>
        <w:t xml:space="preserve">דיון מיום 3.3.2021, עמ' 99, ש' 33-29), ולא </w:t>
      </w:r>
      <w:r w:rsidR="00CA4424">
        <w:rPr>
          <w:rFonts w:hint="cs"/>
          <w:rtl/>
        </w:rPr>
        <w:t>טען כי</w:t>
      </w:r>
      <w:r w:rsidR="00662464">
        <w:rPr>
          <w:rFonts w:hint="cs"/>
          <w:rtl/>
        </w:rPr>
        <w:t xml:space="preserve"> עשה שימוש בו בהקשר של "להרביץ לה</w:t>
      </w:r>
      <w:r w:rsidR="005C6189">
        <w:rPr>
          <w:rFonts w:hint="cs"/>
          <w:rtl/>
        </w:rPr>
        <w:t>";</w:t>
      </w:r>
      <w:r w:rsidR="00CA4424">
        <w:rPr>
          <w:rFonts w:hint="cs"/>
          <w:rtl/>
        </w:rPr>
        <w:t xml:space="preserve"> </w:t>
      </w:r>
      <w:r w:rsidR="005C6189">
        <w:rPr>
          <w:rFonts w:hint="cs"/>
          <w:rtl/>
        </w:rPr>
        <w:t>ו</w:t>
      </w:r>
      <w:r w:rsidR="00CA4424">
        <w:rPr>
          <w:rFonts w:hint="cs"/>
          <w:rtl/>
        </w:rPr>
        <w:t xml:space="preserve">יתרה מזאת, </w:t>
      </w:r>
      <w:r w:rsidR="00662464">
        <w:rPr>
          <w:rFonts w:hint="cs"/>
          <w:rtl/>
        </w:rPr>
        <w:t xml:space="preserve">במסגרת העימות שנערך בין האחות למערער, היא אישרה כי המערער עשה שימוש בביטוי זה בשיחתם, ואילו הוא </w:t>
      </w:r>
      <w:r w:rsidR="002472EB">
        <w:rPr>
          <w:rFonts w:hint="cs"/>
          <w:rtl/>
        </w:rPr>
        <w:t>בחר שלא להשיב על כך</w:t>
      </w:r>
      <w:r w:rsidR="001B2209">
        <w:rPr>
          <w:rFonts w:hint="cs"/>
          <w:rtl/>
        </w:rPr>
        <w:t xml:space="preserve"> בעודו נחקר בחשד לרצח המנוחה</w:t>
      </w:r>
      <w:r w:rsidR="00662464">
        <w:rPr>
          <w:rFonts w:hint="cs"/>
          <w:rtl/>
        </w:rPr>
        <w:t xml:space="preserve">. יוצא אפוא, כי </w:t>
      </w:r>
      <w:r>
        <w:rPr>
          <w:rFonts w:hint="cs"/>
          <w:rtl/>
        </w:rPr>
        <w:t xml:space="preserve">המסקנה שהסיק בית המשפט המחוזי בדבר אשמת המערער </w:t>
      </w:r>
      <w:r w:rsidR="00662464">
        <w:rPr>
          <w:rFonts w:hint="cs"/>
          <w:rtl/>
        </w:rPr>
        <w:t xml:space="preserve">גם נוכח ראיה זו </w:t>
      </w:r>
      <w:r>
        <w:rPr>
          <w:rtl/>
        </w:rPr>
        <w:t>–</w:t>
      </w:r>
      <w:r>
        <w:rPr>
          <w:rFonts w:hint="cs"/>
          <w:rtl/>
        </w:rPr>
        <w:t xml:space="preserve"> מתבקשת היא.   </w:t>
      </w:r>
      <w:r w:rsidR="007B439C">
        <w:rPr>
          <w:rFonts w:hint="cs"/>
          <w:rtl/>
        </w:rPr>
        <w:t xml:space="preserve"> </w:t>
      </w:r>
    </w:p>
    <w:p w:rsidR="00E25FB9" w:rsidRDefault="00E25FB9" w:rsidP="00AC529E">
      <w:pPr>
        <w:pStyle w:val="Ruller40"/>
        <w:rPr>
          <w:rFonts w:ascii="Garamond" w:hAnsi="Garamond"/>
          <w:sz w:val="24"/>
          <w:rtl/>
        </w:rPr>
      </w:pPr>
    </w:p>
    <w:p w:rsidR="00AC529E" w:rsidRDefault="00AC529E" w:rsidP="00AC529E">
      <w:pPr>
        <w:pStyle w:val="Ruller40"/>
        <w:rPr>
          <w:rFonts w:ascii="Century" w:hAnsi="Century" w:cs="Miriam"/>
          <w:b/>
          <w:spacing w:val="0"/>
          <w:szCs w:val="24"/>
          <w:rtl/>
        </w:rPr>
      </w:pPr>
      <w:r w:rsidRPr="00AC529E">
        <w:rPr>
          <w:rFonts w:ascii="Century" w:hAnsi="Century" w:cs="Miriam" w:hint="cs"/>
          <w:b/>
          <w:spacing w:val="0"/>
          <w:szCs w:val="24"/>
          <w:rtl/>
        </w:rPr>
        <w:t>השיחה המקדימה</w:t>
      </w:r>
    </w:p>
    <w:p w:rsidR="008F1722" w:rsidRDefault="008F1722" w:rsidP="00AC529E">
      <w:pPr>
        <w:pStyle w:val="Ruller40"/>
        <w:rPr>
          <w:rFonts w:ascii="Century" w:hAnsi="Century" w:cs="Miriam"/>
          <w:b/>
          <w:spacing w:val="0"/>
          <w:szCs w:val="24"/>
          <w:rtl/>
        </w:rPr>
      </w:pPr>
    </w:p>
    <w:p w:rsidR="00177C67" w:rsidRDefault="00714178" w:rsidP="00724F53">
      <w:pPr>
        <w:pStyle w:val="Ruller4"/>
      </w:pPr>
      <w:r>
        <w:rPr>
          <w:rFonts w:hint="cs"/>
          <w:rtl/>
        </w:rPr>
        <w:t xml:space="preserve">על בסיס גרסת הקטינה </w:t>
      </w:r>
      <w:r w:rsidR="00177C67">
        <w:rPr>
          <w:rFonts w:hint="cs"/>
          <w:rtl/>
        </w:rPr>
        <w:t>בית המשפט המחוזי קבע</w:t>
      </w:r>
      <w:r w:rsidR="001232B1">
        <w:rPr>
          <w:rFonts w:hint="cs"/>
          <w:rtl/>
        </w:rPr>
        <w:t>, כאמור,</w:t>
      </w:r>
      <w:r w:rsidR="00177C67">
        <w:rPr>
          <w:rFonts w:hint="cs"/>
          <w:rtl/>
        </w:rPr>
        <w:t xml:space="preserve"> כי </w:t>
      </w:r>
      <w:r w:rsidR="002472EB">
        <w:rPr>
          <w:rFonts w:hint="cs"/>
          <w:rtl/>
        </w:rPr>
        <w:t>ביום האירוע המערער התקשר</w:t>
      </w:r>
      <w:r w:rsidR="00724F53">
        <w:rPr>
          <w:rFonts w:hint="cs"/>
          <w:rtl/>
        </w:rPr>
        <w:t xml:space="preserve"> באופן חריג</w:t>
      </w:r>
      <w:r w:rsidR="002472EB">
        <w:rPr>
          <w:rFonts w:hint="cs"/>
          <w:rtl/>
        </w:rPr>
        <w:t xml:space="preserve"> </w:t>
      </w:r>
      <w:r w:rsidR="00724F53">
        <w:rPr>
          <w:rFonts w:hint="cs"/>
          <w:rtl/>
        </w:rPr>
        <w:t xml:space="preserve">לקטינה, בעודה בטיול בתל-אביב </w:t>
      </w:r>
      <w:r w:rsidR="002472EB">
        <w:rPr>
          <w:rFonts w:hint="cs"/>
          <w:rtl/>
        </w:rPr>
        <w:t>ושאל מתי היא שבה.</w:t>
      </w:r>
      <w:r>
        <w:rPr>
          <w:rFonts w:hint="cs"/>
          <w:rtl/>
        </w:rPr>
        <w:t xml:space="preserve"> </w:t>
      </w:r>
    </w:p>
    <w:p w:rsidR="00177C67" w:rsidRDefault="00177C67" w:rsidP="00177C67">
      <w:pPr>
        <w:pStyle w:val="Ruller4"/>
        <w:numPr>
          <w:ilvl w:val="0"/>
          <w:numId w:val="0"/>
        </w:numPr>
        <w:rPr>
          <w:rtl/>
        </w:rPr>
      </w:pPr>
    </w:p>
    <w:p w:rsidR="00E25FB9" w:rsidRDefault="00714178" w:rsidP="00123EDA">
      <w:pPr>
        <w:pStyle w:val="Ruller4"/>
        <w:rPr>
          <w:rtl/>
        </w:rPr>
      </w:pPr>
      <w:r>
        <w:rPr>
          <w:rFonts w:hint="cs"/>
          <w:rtl/>
        </w:rPr>
        <w:t xml:space="preserve">איני מוצא ממש בהשגות המערער על קביעות בית המשפט המחוזי ביחס לשיחה המקדימה ועל המשמעות הראייתית </w:t>
      </w:r>
      <w:r w:rsidR="00CA4424">
        <w:rPr>
          <w:rFonts w:hint="cs"/>
          <w:rtl/>
        </w:rPr>
        <w:t xml:space="preserve">שיש </w:t>
      </w:r>
      <w:proofErr w:type="spellStart"/>
      <w:r w:rsidR="00CA4424">
        <w:rPr>
          <w:rFonts w:hint="cs"/>
          <w:rtl/>
        </w:rPr>
        <w:t>ליתן</w:t>
      </w:r>
      <w:proofErr w:type="spellEnd"/>
      <w:r w:rsidR="00CA4424">
        <w:rPr>
          <w:rFonts w:hint="cs"/>
          <w:rtl/>
        </w:rPr>
        <w:t xml:space="preserve"> לה</w:t>
      </w:r>
      <w:r>
        <w:rPr>
          <w:rFonts w:hint="cs"/>
          <w:rtl/>
        </w:rPr>
        <w:t xml:space="preserve">. </w:t>
      </w:r>
      <w:r w:rsidR="00FC06CA">
        <w:rPr>
          <w:rFonts w:hint="cs"/>
          <w:rtl/>
        </w:rPr>
        <w:t xml:space="preserve">המערער </w:t>
      </w:r>
      <w:r>
        <w:rPr>
          <w:rFonts w:hint="cs"/>
          <w:rtl/>
        </w:rPr>
        <w:t>טען כי</w:t>
      </w:r>
      <w:r w:rsidR="00FC06CA">
        <w:rPr>
          <w:rFonts w:hint="cs"/>
          <w:rtl/>
        </w:rPr>
        <w:t xml:space="preserve"> לא ניתן היה לעשות שימוש </w:t>
      </w:r>
      <w:r w:rsidR="00123EDA">
        <w:rPr>
          <w:rFonts w:hint="cs"/>
          <w:rtl/>
        </w:rPr>
        <w:t>בכך ש</w:t>
      </w:r>
      <w:r w:rsidR="00FC06CA">
        <w:rPr>
          <w:rFonts w:hint="cs"/>
          <w:rtl/>
        </w:rPr>
        <w:t xml:space="preserve">הקטינה </w:t>
      </w:r>
      <w:r w:rsidR="00123EDA">
        <w:rPr>
          <w:rFonts w:hint="cs"/>
          <w:rtl/>
        </w:rPr>
        <w:t xml:space="preserve">מסרה </w:t>
      </w:r>
      <w:r w:rsidR="00FC06CA">
        <w:rPr>
          <w:rFonts w:hint="cs"/>
          <w:rtl/>
        </w:rPr>
        <w:t>בחקירתה ב</w:t>
      </w:r>
      <w:r w:rsidR="00705347">
        <w:rPr>
          <w:rFonts w:hint="cs"/>
          <w:rtl/>
        </w:rPr>
        <w:t>משטרה</w:t>
      </w:r>
      <w:r w:rsidR="00FC06CA">
        <w:rPr>
          <w:rFonts w:hint="cs"/>
          <w:rtl/>
        </w:rPr>
        <w:t xml:space="preserve"> כי השיחה הייתה חריגה</w:t>
      </w:r>
      <w:r>
        <w:rPr>
          <w:rFonts w:hint="cs"/>
          <w:rtl/>
        </w:rPr>
        <w:t xml:space="preserve">, אולם </w:t>
      </w:r>
      <w:r w:rsidR="00FC06CA">
        <w:rPr>
          <w:rFonts w:hint="cs"/>
          <w:rtl/>
        </w:rPr>
        <w:t xml:space="preserve">המערער </w:t>
      </w:r>
      <w:r>
        <w:rPr>
          <w:rFonts w:hint="cs"/>
          <w:rtl/>
        </w:rPr>
        <w:t xml:space="preserve">ממילא </w:t>
      </w:r>
      <w:r w:rsidR="00FC06CA">
        <w:rPr>
          <w:rFonts w:hint="cs"/>
          <w:rtl/>
        </w:rPr>
        <w:t>אישר, הלכה למעשה, עובדה זו בחקירתו הנגדית</w:t>
      </w:r>
      <w:r w:rsidR="00705347">
        <w:rPr>
          <w:rFonts w:hint="cs"/>
          <w:rtl/>
        </w:rPr>
        <w:t xml:space="preserve"> (פרו' דיון מיום 3.3.2021, עמ' 98, ש' 14-13)</w:t>
      </w:r>
      <w:r w:rsidR="00FC06CA">
        <w:rPr>
          <w:rFonts w:hint="cs"/>
          <w:rtl/>
        </w:rPr>
        <w:t xml:space="preserve">. </w:t>
      </w:r>
      <w:r w:rsidR="00E25FB9">
        <w:rPr>
          <w:rFonts w:hint="cs"/>
          <w:rtl/>
        </w:rPr>
        <w:t xml:space="preserve">המערער </w:t>
      </w:r>
      <w:r>
        <w:rPr>
          <w:rFonts w:hint="cs"/>
          <w:rtl/>
        </w:rPr>
        <w:t xml:space="preserve">אף </w:t>
      </w:r>
      <w:r w:rsidR="00E25FB9">
        <w:rPr>
          <w:rFonts w:hint="cs"/>
          <w:rtl/>
        </w:rPr>
        <w:t xml:space="preserve">התקשה עד מאוד להסביר את </w:t>
      </w:r>
      <w:r>
        <w:rPr>
          <w:rFonts w:hint="cs"/>
          <w:rtl/>
        </w:rPr>
        <w:t>דרך התנהלותו בחקירתו במשטרה כאשר נשאל על אודות השיחה המקדימה:</w:t>
      </w:r>
      <w:r>
        <w:rPr>
          <w:rtl/>
        </w:rPr>
        <w:t xml:space="preserve"> </w:t>
      </w:r>
    </w:p>
    <w:p w:rsidR="004122E3" w:rsidRPr="004122E3" w:rsidRDefault="004122E3" w:rsidP="004122E3">
      <w:pPr>
        <w:pStyle w:val="Ruller40"/>
        <w:rPr>
          <w:rtl/>
        </w:rPr>
      </w:pPr>
    </w:p>
    <w:p w:rsidR="00E25FB9" w:rsidRPr="00D562C7" w:rsidRDefault="00E25FB9" w:rsidP="00E25FB9">
      <w:pPr>
        <w:pStyle w:val="Ruller5"/>
        <w:rPr>
          <w:rtl/>
        </w:rPr>
      </w:pPr>
      <w:r w:rsidRPr="00D562C7">
        <w:rPr>
          <w:rtl/>
        </w:rPr>
        <w:t>ש.</w:t>
      </w:r>
      <w:r w:rsidRPr="00D562C7">
        <w:rPr>
          <w:rtl/>
        </w:rPr>
        <w:tab/>
      </w:r>
      <w:r>
        <w:rPr>
          <w:rFonts w:hint="cs"/>
          <w:rtl/>
        </w:rPr>
        <w:t xml:space="preserve">[...] </w:t>
      </w:r>
      <w:r w:rsidRPr="00D562C7">
        <w:rPr>
          <w:rtl/>
        </w:rPr>
        <w:t xml:space="preserve">אנו טוענים שאתה רצית לוודא שהבת שלך רחוקה מהבית כדי שתוכל להוציא את התוכנית לפועל. </w:t>
      </w:r>
    </w:p>
    <w:p w:rsidR="00E25FB9" w:rsidRPr="00D562C7" w:rsidRDefault="00E25FB9" w:rsidP="00E25FB9">
      <w:pPr>
        <w:pStyle w:val="Ruller5"/>
        <w:rPr>
          <w:rtl/>
        </w:rPr>
      </w:pPr>
      <w:r w:rsidRPr="00D562C7">
        <w:rPr>
          <w:rtl/>
        </w:rPr>
        <w:t>ת.</w:t>
      </w:r>
      <w:r w:rsidRPr="00D562C7">
        <w:rPr>
          <w:rtl/>
        </w:rPr>
        <w:tab/>
        <w:t xml:space="preserve">לא נכון. </w:t>
      </w:r>
    </w:p>
    <w:p w:rsidR="00E25FB9" w:rsidRPr="00D562C7" w:rsidRDefault="00E25FB9" w:rsidP="00E25FB9">
      <w:pPr>
        <w:pStyle w:val="Ruller5"/>
        <w:rPr>
          <w:rtl/>
        </w:rPr>
      </w:pPr>
      <w:r w:rsidRPr="00D562C7">
        <w:rPr>
          <w:rtl/>
        </w:rPr>
        <w:t>ש.</w:t>
      </w:r>
      <w:r w:rsidRPr="00D562C7">
        <w:rPr>
          <w:rtl/>
        </w:rPr>
        <w:tab/>
        <w:t xml:space="preserve">כששואלים אותך את השאלה הזו במשטרה, ומבינים שזו התוכנית שלך,  אתה אומר אני לא רוצה לענות על השאלה  הזו, ת/6 ש' 113.  אומרים לך החוקרים, תכננת, ואומרים למה התקשרת לבת שלך,  ואתה אומר אני לא רוצה לענות על השאלה הזו. </w:t>
      </w:r>
    </w:p>
    <w:p w:rsidR="00E25FB9" w:rsidRPr="00D562C7" w:rsidRDefault="00E25FB9" w:rsidP="00E25FB9">
      <w:pPr>
        <w:pStyle w:val="Ruller5"/>
        <w:rPr>
          <w:rtl/>
        </w:rPr>
      </w:pPr>
      <w:r w:rsidRPr="00D562C7">
        <w:rPr>
          <w:rtl/>
        </w:rPr>
        <w:t>ת.</w:t>
      </w:r>
      <w:r w:rsidRPr="00D562C7">
        <w:rPr>
          <w:rtl/>
        </w:rPr>
        <w:tab/>
        <w:t xml:space="preserve">מרוב הלחץ של החקירות, לא רציתי להכניס את עצמי לתסביך יותר. </w:t>
      </w:r>
    </w:p>
    <w:p w:rsidR="00E25FB9" w:rsidRPr="00D562C7" w:rsidRDefault="00E25FB9" w:rsidP="00E25FB9">
      <w:pPr>
        <w:pStyle w:val="Ruller5"/>
      </w:pPr>
      <w:r w:rsidRPr="00D562C7">
        <w:rPr>
          <w:rtl/>
        </w:rPr>
        <w:t>ש.</w:t>
      </w:r>
      <w:r w:rsidRPr="00D562C7">
        <w:rPr>
          <w:rtl/>
        </w:rPr>
        <w:tab/>
        <w:t xml:space="preserve">החוקר ממשיך להקשות עליך, ודורש לקבל ממך תשובה, ואתה אומר לו הלוואי וימצאו אותי תלוי. </w:t>
      </w:r>
      <w:r>
        <w:rPr>
          <w:rFonts w:hint="cs"/>
          <w:rtl/>
        </w:rPr>
        <w:t>[...]</w:t>
      </w:r>
    </w:p>
    <w:p w:rsidR="00E25FB9" w:rsidRPr="00D562C7" w:rsidRDefault="00E25FB9" w:rsidP="00E25FB9">
      <w:pPr>
        <w:pStyle w:val="Ruller5"/>
        <w:rPr>
          <w:rtl/>
        </w:rPr>
      </w:pPr>
      <w:r w:rsidRPr="00D562C7">
        <w:rPr>
          <w:rtl/>
        </w:rPr>
        <w:t xml:space="preserve">אני מבין מההתנהלות הזו כי השאלה הזו מלחיצה אותך, מביכה אותך, ואתה אומר הלוואי ואני אמות. </w:t>
      </w:r>
    </w:p>
    <w:p w:rsidR="00E25FB9" w:rsidRPr="00D562C7" w:rsidRDefault="00DD536B" w:rsidP="00E25FB9">
      <w:pPr>
        <w:pStyle w:val="Ruller5"/>
        <w:rPr>
          <w:rtl/>
        </w:rPr>
      </w:pPr>
      <w:r>
        <w:rPr>
          <w:rtl/>
        </w:rPr>
        <w:t>ת.</w:t>
      </w:r>
      <w:r>
        <w:rPr>
          <w:rtl/>
        </w:rPr>
        <w:tab/>
        <w:t>נכון.</w:t>
      </w:r>
      <w:r w:rsidR="00E25FB9" w:rsidRPr="00D562C7">
        <w:rPr>
          <w:rtl/>
        </w:rPr>
        <w:t xml:space="preserve"> </w:t>
      </w:r>
      <w:r w:rsidR="00E25FB9">
        <w:rPr>
          <w:rFonts w:hint="cs"/>
          <w:rtl/>
        </w:rPr>
        <w:t>[...]</w:t>
      </w:r>
    </w:p>
    <w:p w:rsidR="00E25FB9" w:rsidRPr="00D562C7" w:rsidRDefault="00E25FB9" w:rsidP="00E25FB9">
      <w:pPr>
        <w:pStyle w:val="Ruller5"/>
        <w:rPr>
          <w:rtl/>
        </w:rPr>
      </w:pPr>
      <w:r w:rsidRPr="00D562C7">
        <w:rPr>
          <w:rtl/>
        </w:rPr>
        <w:lastRenderedPageBreak/>
        <w:t>ש.</w:t>
      </w:r>
      <w:r w:rsidRPr="00D562C7">
        <w:rPr>
          <w:rtl/>
        </w:rPr>
        <w:tab/>
        <w:t xml:space="preserve">למה את התשובה הזו אתה אומר אותה רק אחרי שמלחיצים אותך עם השאלה למה התקשרת לבת שלך, ואומרים לך שזה חלק מהתוכנית שלך. </w:t>
      </w:r>
    </w:p>
    <w:p w:rsidR="00E25FB9" w:rsidRPr="00D562C7" w:rsidRDefault="00E25FB9" w:rsidP="00E25FB9">
      <w:pPr>
        <w:pStyle w:val="Ruller5"/>
        <w:rPr>
          <w:rtl/>
        </w:rPr>
      </w:pPr>
      <w:r w:rsidRPr="00D562C7">
        <w:rPr>
          <w:rtl/>
        </w:rPr>
        <w:t>ת.</w:t>
      </w:r>
      <w:r w:rsidRPr="00D562C7">
        <w:rPr>
          <w:rtl/>
        </w:rPr>
        <w:tab/>
        <w:t xml:space="preserve">מהלחץ של החקירות. אני גם לא </w:t>
      </w:r>
      <w:r>
        <w:rPr>
          <w:rtl/>
        </w:rPr>
        <w:t>רוצה להכניס את עצמי ליותר תסביך</w:t>
      </w:r>
      <w:r w:rsidRPr="00D562C7">
        <w:rPr>
          <w:rtl/>
        </w:rPr>
        <w:t xml:space="preserve"> </w:t>
      </w:r>
      <w:r>
        <w:rPr>
          <w:rFonts w:hint="cs"/>
          <w:rtl/>
        </w:rPr>
        <w:t>(שם, בעמודים 98-97)</w:t>
      </w:r>
      <w:r>
        <w:rPr>
          <w:rtl/>
        </w:rPr>
        <w:t>.</w:t>
      </w:r>
    </w:p>
    <w:p w:rsidR="00E25FB9" w:rsidRDefault="00E25FB9" w:rsidP="00E25FB9">
      <w:pPr>
        <w:pStyle w:val="Ruller4"/>
        <w:numPr>
          <w:ilvl w:val="0"/>
          <w:numId w:val="0"/>
        </w:numPr>
      </w:pPr>
    </w:p>
    <w:p w:rsidR="003B6487" w:rsidRDefault="003B6487" w:rsidP="003B6487">
      <w:pPr>
        <w:pStyle w:val="Ruller4"/>
        <w:numPr>
          <w:ilvl w:val="0"/>
          <w:numId w:val="0"/>
        </w:numPr>
      </w:pPr>
      <w:r>
        <w:rPr>
          <w:rtl/>
        </w:rPr>
        <w:tab/>
      </w:r>
      <w:r w:rsidR="00CA4424">
        <w:rPr>
          <w:rFonts w:hint="cs"/>
          <w:rtl/>
        </w:rPr>
        <w:t>על כן</w:t>
      </w:r>
      <w:r w:rsidR="00EB2E48">
        <w:rPr>
          <w:rFonts w:hint="cs"/>
          <w:rtl/>
        </w:rPr>
        <w:t xml:space="preserve">, </w:t>
      </w:r>
      <w:r w:rsidR="00705347">
        <w:rPr>
          <w:rFonts w:hint="cs"/>
          <w:rtl/>
        </w:rPr>
        <w:t>בהתחשב בתוכן השיחה ועיתויה, כמו גם ב</w:t>
      </w:r>
      <w:r w:rsidR="00E25FB9">
        <w:rPr>
          <w:rFonts w:hint="cs"/>
          <w:rtl/>
        </w:rPr>
        <w:t>מכלול הראיות,</w:t>
      </w:r>
      <w:r w:rsidR="00FC06CA">
        <w:rPr>
          <w:rFonts w:hint="cs"/>
          <w:rtl/>
        </w:rPr>
        <w:t xml:space="preserve"> </w:t>
      </w:r>
      <w:r w:rsidR="00714178">
        <w:rPr>
          <w:rFonts w:hint="cs"/>
          <w:rtl/>
        </w:rPr>
        <w:t>מקובל על</w:t>
      </w:r>
      <w:r w:rsidR="00EB2E48">
        <w:rPr>
          <w:rFonts w:hint="cs"/>
          <w:rtl/>
        </w:rPr>
        <w:t>י</w:t>
      </w:r>
      <w:r w:rsidR="00513AE8">
        <w:rPr>
          <w:rFonts w:hint="cs"/>
          <w:rtl/>
        </w:rPr>
        <w:t>י</w:t>
      </w:r>
      <w:r w:rsidR="00EB2E48">
        <w:rPr>
          <w:rFonts w:hint="cs"/>
          <w:rtl/>
        </w:rPr>
        <w:t xml:space="preserve"> כי שיחה </w:t>
      </w:r>
      <w:r w:rsidR="00E25FB9">
        <w:rPr>
          <w:rFonts w:hint="cs"/>
          <w:rtl/>
        </w:rPr>
        <w:t>זו לימדה על העתיד לבוא</w:t>
      </w:r>
      <w:r w:rsidR="00705347">
        <w:rPr>
          <w:rFonts w:hint="cs"/>
          <w:rtl/>
        </w:rPr>
        <w:t xml:space="preserve">, ולמעשה </w:t>
      </w:r>
      <w:r w:rsidR="00E25FB9">
        <w:rPr>
          <w:rFonts w:hint="cs"/>
          <w:rtl/>
        </w:rPr>
        <w:t>על כוונת המערער להמית את המנוחה</w:t>
      </w:r>
      <w:r w:rsidR="00FC06CA">
        <w:rPr>
          <w:rFonts w:hint="cs"/>
          <w:rtl/>
        </w:rPr>
        <w:t>.</w:t>
      </w:r>
      <w:r w:rsidR="00705347">
        <w:rPr>
          <w:rFonts w:hint="cs"/>
          <w:rtl/>
        </w:rPr>
        <w:t xml:space="preserve"> </w:t>
      </w:r>
    </w:p>
    <w:p w:rsidR="003B6487" w:rsidRDefault="003B6487" w:rsidP="003B6487">
      <w:pPr>
        <w:pStyle w:val="Ruller4"/>
        <w:numPr>
          <w:ilvl w:val="0"/>
          <w:numId w:val="0"/>
        </w:numPr>
        <w:rPr>
          <w:rtl/>
        </w:rPr>
      </w:pPr>
    </w:p>
    <w:p w:rsidR="003D0166" w:rsidRDefault="003D0166" w:rsidP="003B6487">
      <w:pPr>
        <w:pStyle w:val="Ruller4"/>
        <w:rPr>
          <w:rtl/>
        </w:rPr>
      </w:pPr>
      <w:r>
        <w:rPr>
          <w:rFonts w:hint="cs"/>
          <w:rtl/>
        </w:rPr>
        <w:t xml:space="preserve">במסגרת הכרעת הדין, </w:t>
      </w:r>
      <w:r w:rsidR="003B6487">
        <w:rPr>
          <w:rFonts w:hint="cs"/>
          <w:rtl/>
        </w:rPr>
        <w:t xml:space="preserve">וביחס לשיחה המקדימה, </w:t>
      </w:r>
      <w:r>
        <w:rPr>
          <w:rFonts w:hint="cs"/>
          <w:rtl/>
        </w:rPr>
        <w:t>בית המשפט המחוזי הסתמך גם על דברים אלו בחקירתו הנגדית של המערער:</w:t>
      </w:r>
    </w:p>
    <w:p w:rsidR="003D0166" w:rsidRDefault="003D0166" w:rsidP="003D0166">
      <w:pPr>
        <w:pStyle w:val="Ruller40"/>
        <w:rPr>
          <w:rtl/>
        </w:rPr>
      </w:pPr>
    </w:p>
    <w:p w:rsidR="003D0166" w:rsidRPr="003D0166" w:rsidRDefault="003D0166" w:rsidP="003D0166">
      <w:pPr>
        <w:pStyle w:val="Ruller5"/>
      </w:pPr>
      <w:r w:rsidRPr="003D0166">
        <w:rPr>
          <w:rtl/>
        </w:rPr>
        <w:t>ש.</w:t>
      </w:r>
      <w:r w:rsidRPr="003D0166">
        <w:rPr>
          <w:rtl/>
        </w:rPr>
        <w:tab/>
        <w:t xml:space="preserve">אתה אישרת לנו שהתקשרת יותר מפעם אחת </w:t>
      </w:r>
      <w:proofErr w:type="spellStart"/>
      <w:r w:rsidRPr="003D0166">
        <w:rPr>
          <w:rtl/>
        </w:rPr>
        <w:t>לראנה</w:t>
      </w:r>
      <w:proofErr w:type="spellEnd"/>
      <w:r w:rsidRPr="003D0166">
        <w:rPr>
          <w:rtl/>
        </w:rPr>
        <w:t xml:space="preserve">.  </w:t>
      </w:r>
    </w:p>
    <w:p w:rsidR="003D0166" w:rsidRPr="003D0166" w:rsidRDefault="003D0166" w:rsidP="003D0166">
      <w:pPr>
        <w:pStyle w:val="Ruller5"/>
        <w:rPr>
          <w:rtl/>
        </w:rPr>
      </w:pPr>
      <w:r w:rsidRPr="003D0166">
        <w:rPr>
          <w:rtl/>
        </w:rPr>
        <w:t>ת.</w:t>
      </w:r>
      <w:r w:rsidRPr="003D0166">
        <w:rPr>
          <w:rtl/>
        </w:rPr>
        <w:tab/>
        <w:t xml:space="preserve">נכון.. </w:t>
      </w:r>
    </w:p>
    <w:p w:rsidR="003D0166" w:rsidRPr="003D0166" w:rsidRDefault="003D0166" w:rsidP="003D0166">
      <w:pPr>
        <w:pStyle w:val="Ruller5"/>
        <w:rPr>
          <w:rtl/>
        </w:rPr>
      </w:pPr>
      <w:r w:rsidRPr="003D0166">
        <w:rPr>
          <w:rtl/>
        </w:rPr>
        <w:t>ש.</w:t>
      </w:r>
      <w:r w:rsidRPr="003D0166">
        <w:rPr>
          <w:rtl/>
        </w:rPr>
        <w:tab/>
        <w:t xml:space="preserve">עשית את זה כדי שהיא לא תגיע הביתה ותגלה את הגופה ומה שעשית </w:t>
      </w:r>
      <w:proofErr w:type="spellStart"/>
      <w:r w:rsidRPr="003D0166">
        <w:rPr>
          <w:rtl/>
        </w:rPr>
        <w:t>לאמא</w:t>
      </w:r>
      <w:proofErr w:type="spellEnd"/>
      <w:r w:rsidRPr="003D0166">
        <w:rPr>
          <w:rtl/>
        </w:rPr>
        <w:t xml:space="preserve"> שלה. </w:t>
      </w:r>
    </w:p>
    <w:p w:rsidR="003D0166" w:rsidRDefault="003D0166" w:rsidP="003D0166">
      <w:pPr>
        <w:pStyle w:val="Ruller5"/>
        <w:rPr>
          <w:rtl/>
        </w:rPr>
      </w:pPr>
      <w:r>
        <w:rPr>
          <w:rtl/>
        </w:rPr>
        <w:t>ת.</w:t>
      </w:r>
      <w:r>
        <w:rPr>
          <w:rtl/>
        </w:rPr>
        <w:tab/>
      </w:r>
      <w:r w:rsidRPr="003D0166">
        <w:rPr>
          <w:rtl/>
        </w:rPr>
        <w:t>נכון</w:t>
      </w:r>
      <w:r w:rsidRPr="003D0166">
        <w:rPr>
          <w:rFonts w:hint="cs"/>
          <w:rtl/>
        </w:rPr>
        <w:t xml:space="preserve"> </w:t>
      </w:r>
      <w:r w:rsidR="009F2FB7" w:rsidRPr="003D0166">
        <w:rPr>
          <w:rFonts w:hint="cs"/>
          <w:rtl/>
        </w:rPr>
        <w:t>(שם, בעמוד 93</w:t>
      </w:r>
      <w:r w:rsidR="00705347" w:rsidRPr="003D0166">
        <w:rPr>
          <w:rFonts w:hint="cs"/>
          <w:rtl/>
        </w:rPr>
        <w:t>).</w:t>
      </w:r>
      <w:r w:rsidR="00705347">
        <w:rPr>
          <w:rFonts w:hint="cs"/>
          <w:rtl/>
        </w:rPr>
        <w:t xml:space="preserve"> </w:t>
      </w:r>
    </w:p>
    <w:p w:rsidR="003D0166" w:rsidRDefault="003D0166" w:rsidP="003D0166">
      <w:pPr>
        <w:pStyle w:val="Ruller5"/>
        <w:rPr>
          <w:rtl/>
        </w:rPr>
      </w:pPr>
    </w:p>
    <w:p w:rsidR="008F1722" w:rsidRPr="00D969F0" w:rsidRDefault="003D0166" w:rsidP="003B6487">
      <w:pPr>
        <w:pStyle w:val="Ruller4"/>
        <w:numPr>
          <w:ilvl w:val="0"/>
          <w:numId w:val="0"/>
        </w:numPr>
        <w:rPr>
          <w:rtl/>
        </w:rPr>
      </w:pPr>
      <w:r>
        <w:rPr>
          <w:rtl/>
        </w:rPr>
        <w:tab/>
      </w:r>
      <w:r>
        <w:rPr>
          <w:rFonts w:hint="cs"/>
          <w:rtl/>
        </w:rPr>
        <w:t>בהקשר זה, מקובלת עליי טענת הסנגור כי קיים</w:t>
      </w:r>
      <w:r w:rsidR="00705347">
        <w:rPr>
          <w:rFonts w:hint="cs"/>
          <w:rtl/>
        </w:rPr>
        <w:t xml:space="preserve"> </w:t>
      </w:r>
      <w:r w:rsidR="003B6487">
        <w:rPr>
          <w:rFonts w:hint="cs"/>
          <w:rtl/>
        </w:rPr>
        <w:t>ספק אם</w:t>
      </w:r>
      <w:r w:rsidR="00705347">
        <w:rPr>
          <w:rFonts w:hint="cs"/>
          <w:rtl/>
        </w:rPr>
        <w:t xml:space="preserve"> המערער התייחס בתשובתו זו דווקא לשיחה המקדימה, או לשיחות אחרות, </w:t>
      </w:r>
      <w:r w:rsidR="009D3E48">
        <w:rPr>
          <w:rFonts w:hint="cs"/>
          <w:rtl/>
        </w:rPr>
        <w:t xml:space="preserve">אחרי המתת המנוחה. </w:t>
      </w:r>
      <w:r w:rsidR="00AA4DFD">
        <w:rPr>
          <w:rFonts w:hint="cs"/>
          <w:rtl/>
        </w:rPr>
        <w:t>מכל מקום, דומה שבית המשפט המח</w:t>
      </w:r>
      <w:r w:rsidR="004122E3">
        <w:rPr>
          <w:rFonts w:hint="cs"/>
          <w:rtl/>
        </w:rPr>
        <w:t>וזי העניק לכך משקל מוגבל</w:t>
      </w:r>
      <w:r w:rsidR="00513AE8">
        <w:rPr>
          <w:rFonts w:hint="cs"/>
          <w:rtl/>
        </w:rPr>
        <w:t xml:space="preserve"> ו</w:t>
      </w:r>
      <w:r w:rsidR="004122E3">
        <w:rPr>
          <w:rFonts w:hint="cs"/>
          <w:rtl/>
        </w:rPr>
        <w:t xml:space="preserve">אף </w:t>
      </w:r>
      <w:r w:rsidR="009D3E48">
        <w:rPr>
          <w:rFonts w:hint="cs"/>
          <w:rtl/>
        </w:rPr>
        <w:t xml:space="preserve">ישנן ראיות מספקות, ולמעלה לכך, התומכות במסקנת בית המשפט המחוזי בדבר </w:t>
      </w:r>
      <w:r w:rsidR="00513AE8">
        <w:rPr>
          <w:rFonts w:hint="cs"/>
          <w:rtl/>
        </w:rPr>
        <w:t>משמעות</w:t>
      </w:r>
      <w:r w:rsidR="009D3E48">
        <w:rPr>
          <w:rFonts w:hint="cs"/>
          <w:rtl/>
        </w:rPr>
        <w:t xml:space="preserve"> </w:t>
      </w:r>
      <w:r w:rsidR="00513AE8">
        <w:rPr>
          <w:rFonts w:hint="cs"/>
          <w:rtl/>
        </w:rPr>
        <w:t>ה</w:t>
      </w:r>
      <w:r w:rsidR="009D3E48">
        <w:rPr>
          <w:rFonts w:hint="cs"/>
          <w:rtl/>
        </w:rPr>
        <w:t>שיחה המקדימה.</w:t>
      </w:r>
      <w:r w:rsidR="00FC06CA">
        <w:rPr>
          <w:rFonts w:hint="cs"/>
          <w:rtl/>
        </w:rPr>
        <w:t xml:space="preserve"> </w:t>
      </w:r>
    </w:p>
    <w:p w:rsidR="00D76DC8" w:rsidRDefault="00D76DC8" w:rsidP="00D76DC8">
      <w:pPr>
        <w:pStyle w:val="Ruller4"/>
        <w:numPr>
          <w:ilvl w:val="0"/>
          <w:numId w:val="0"/>
        </w:numPr>
        <w:rPr>
          <w:rtl/>
        </w:rPr>
      </w:pPr>
    </w:p>
    <w:p w:rsidR="00D76DC8" w:rsidRDefault="00490CFA" w:rsidP="001B2821">
      <w:pPr>
        <w:pStyle w:val="Ruller4"/>
      </w:pPr>
      <w:r>
        <w:rPr>
          <w:rFonts w:hint="cs"/>
          <w:rtl/>
        </w:rPr>
        <w:t>מש</w:t>
      </w:r>
      <w:r w:rsidR="00F529A0">
        <w:rPr>
          <w:rFonts w:hint="cs"/>
          <w:rtl/>
        </w:rPr>
        <w:t xml:space="preserve">נדחו </w:t>
      </w:r>
      <w:r w:rsidR="00714178">
        <w:rPr>
          <w:rFonts w:hint="cs"/>
          <w:rtl/>
        </w:rPr>
        <w:t>אפוא</w:t>
      </w:r>
      <w:r w:rsidR="00F529A0">
        <w:rPr>
          <w:rFonts w:hint="cs"/>
          <w:rtl/>
        </w:rPr>
        <w:t xml:space="preserve"> השגות המערער </w:t>
      </w:r>
      <w:r w:rsidR="00714178">
        <w:rPr>
          <w:rFonts w:hint="cs"/>
          <w:rtl/>
        </w:rPr>
        <w:t>ביחס</w:t>
      </w:r>
      <w:r w:rsidR="00F529A0">
        <w:rPr>
          <w:rFonts w:hint="cs"/>
          <w:rtl/>
        </w:rPr>
        <w:t xml:space="preserve"> </w:t>
      </w:r>
      <w:r w:rsidR="00714178">
        <w:rPr>
          <w:rFonts w:hint="cs"/>
          <w:rtl/>
        </w:rPr>
        <w:t>ל</w:t>
      </w:r>
      <w:r w:rsidR="00F529A0">
        <w:rPr>
          <w:rFonts w:hint="cs"/>
          <w:rtl/>
        </w:rPr>
        <w:t xml:space="preserve">קבילות חלק מהראיות </w:t>
      </w:r>
      <w:r w:rsidR="00714178">
        <w:rPr>
          <w:rFonts w:hint="cs"/>
          <w:rtl/>
        </w:rPr>
        <w:t>וביחס ל</w:t>
      </w:r>
      <w:r w:rsidR="00F529A0">
        <w:rPr>
          <w:rFonts w:hint="cs"/>
          <w:rtl/>
        </w:rPr>
        <w:t xml:space="preserve">משקל שניתן </w:t>
      </w:r>
      <w:r w:rsidR="00714178">
        <w:rPr>
          <w:rFonts w:hint="cs"/>
          <w:rtl/>
        </w:rPr>
        <w:t>להן</w:t>
      </w:r>
      <w:r>
        <w:rPr>
          <w:rFonts w:hint="cs"/>
          <w:rtl/>
        </w:rPr>
        <w:t xml:space="preserve">, </w:t>
      </w:r>
      <w:r w:rsidR="00F529A0">
        <w:rPr>
          <w:rFonts w:hint="cs"/>
          <w:rtl/>
        </w:rPr>
        <w:t>אין לפנינו כל עילה להתערב במסקנותי</w:t>
      </w:r>
      <w:r w:rsidR="00E25FB9">
        <w:rPr>
          <w:rFonts w:hint="cs"/>
          <w:rtl/>
        </w:rPr>
        <w:t xml:space="preserve">ו המשפטיות של בית המשפט המחוזי, </w:t>
      </w:r>
      <w:r w:rsidR="001B2821">
        <w:rPr>
          <w:rFonts w:hint="cs"/>
          <w:rtl/>
        </w:rPr>
        <w:t>בהתבסס על המסכת העובדתית שהובאה בפניו, ובסופו של יום מבסס</w:t>
      </w:r>
      <w:r w:rsidR="00E25FB9">
        <w:rPr>
          <w:rFonts w:hint="cs"/>
          <w:rtl/>
        </w:rPr>
        <w:t xml:space="preserve">ת את הרשעתו בעבירת רצח בכוונה תחילה. </w:t>
      </w:r>
    </w:p>
    <w:p w:rsidR="001D5642" w:rsidRDefault="00327473" w:rsidP="00E25FB9">
      <w:pPr>
        <w:pStyle w:val="Ruller4"/>
        <w:numPr>
          <w:ilvl w:val="0"/>
          <w:numId w:val="0"/>
        </w:numPr>
        <w:rPr>
          <w:rtl/>
        </w:rPr>
      </w:pPr>
      <w:r>
        <w:rPr>
          <w:rFonts w:hint="cs"/>
          <w:rtl/>
        </w:rPr>
        <w:t xml:space="preserve"> </w:t>
      </w:r>
    </w:p>
    <w:p w:rsidR="001D5642" w:rsidRDefault="00FA1183" w:rsidP="00FA1183">
      <w:pPr>
        <w:pStyle w:val="Ruller40"/>
        <w:rPr>
          <w:rFonts w:ascii="Century" w:hAnsi="Century" w:cs="Miriam"/>
          <w:b/>
          <w:spacing w:val="0"/>
          <w:szCs w:val="24"/>
          <w:rtl/>
        </w:rPr>
      </w:pPr>
      <w:r>
        <w:rPr>
          <w:rFonts w:ascii="Century" w:hAnsi="Century" w:cs="Miriam" w:hint="cs"/>
          <w:b/>
          <w:spacing w:val="0"/>
          <w:szCs w:val="24"/>
          <w:rtl/>
        </w:rPr>
        <w:t xml:space="preserve">השפעת </w:t>
      </w:r>
      <w:r w:rsidR="001D5642">
        <w:rPr>
          <w:rFonts w:ascii="Century" w:hAnsi="Century" w:cs="Miriam" w:hint="cs"/>
          <w:b/>
          <w:spacing w:val="0"/>
          <w:szCs w:val="24"/>
          <w:rtl/>
        </w:rPr>
        <w:t xml:space="preserve">הרפורמה בעבירות ההמתה </w:t>
      </w:r>
      <w:r w:rsidR="0010721B">
        <w:rPr>
          <w:rFonts w:ascii="Century" w:hAnsi="Century" w:cs="Miriam" w:hint="cs"/>
          <w:b/>
          <w:spacing w:val="0"/>
          <w:szCs w:val="24"/>
          <w:rtl/>
        </w:rPr>
        <w:t>על עניינו של המערער</w:t>
      </w:r>
    </w:p>
    <w:p w:rsidR="00CA3B78" w:rsidRDefault="00CA3B78" w:rsidP="001D5642">
      <w:pPr>
        <w:pStyle w:val="Ruller40"/>
        <w:rPr>
          <w:rFonts w:ascii="Century" w:hAnsi="Century" w:cs="Miriam"/>
          <w:b/>
          <w:spacing w:val="0"/>
          <w:szCs w:val="24"/>
          <w:rtl/>
        </w:rPr>
      </w:pPr>
    </w:p>
    <w:p w:rsidR="0099278C" w:rsidRDefault="00490CFA" w:rsidP="001A4C3E">
      <w:pPr>
        <w:pStyle w:val="Ruller4"/>
      </w:pPr>
      <w:r>
        <w:rPr>
          <w:rFonts w:hint="cs"/>
          <w:rtl/>
        </w:rPr>
        <w:t xml:space="preserve">הרצח מושא הליך זה בוצע ביום </w:t>
      </w:r>
      <w:r w:rsidR="00C40576">
        <w:rPr>
          <w:rFonts w:hint="cs"/>
          <w:rtl/>
        </w:rPr>
        <w:t>26.3.2019. קרי, לאחר שתיקון 137 נחקק. ס</w:t>
      </w:r>
      <w:r w:rsidR="00C40576">
        <w:rPr>
          <w:rtl/>
        </w:rPr>
        <w:t>עיף 25 לתיקון 137 מכיל הוראות בדבר "תחילה, תחולה והוראות מעבר"</w:t>
      </w:r>
      <w:r w:rsidR="00C40576">
        <w:rPr>
          <w:rFonts w:hint="cs"/>
          <w:rtl/>
        </w:rPr>
        <w:t xml:space="preserve"> ומתייחס, </w:t>
      </w:r>
      <w:r w:rsidR="00C40576">
        <w:rPr>
          <w:rtl/>
        </w:rPr>
        <w:t xml:space="preserve">ככלל, לשלושה מצבים שונים, הנסובים על יום התחילה – ה-10.7.2019 (להלן: </w:t>
      </w:r>
      <w:r w:rsidR="00C40576" w:rsidRPr="00C40576">
        <w:rPr>
          <w:rFonts w:ascii="Century" w:hAnsi="Century" w:cs="Miriam"/>
          <w:b/>
          <w:spacing w:val="0"/>
          <w:sz w:val="22"/>
          <w:szCs w:val="24"/>
          <w:rtl/>
        </w:rPr>
        <w:t>יום התחילה</w:t>
      </w:r>
      <w:r w:rsidR="00C40576">
        <w:rPr>
          <w:rtl/>
        </w:rPr>
        <w:t>).</w:t>
      </w:r>
    </w:p>
    <w:p w:rsidR="0099278C" w:rsidRDefault="0099278C" w:rsidP="0099278C">
      <w:pPr>
        <w:pStyle w:val="Ruller4"/>
        <w:numPr>
          <w:ilvl w:val="0"/>
          <w:numId w:val="0"/>
        </w:numPr>
        <w:rPr>
          <w:rtl/>
        </w:rPr>
      </w:pPr>
    </w:p>
    <w:p w:rsidR="00C40576" w:rsidRDefault="0099278C" w:rsidP="00E42FFB">
      <w:pPr>
        <w:pStyle w:val="Ruller4"/>
        <w:numPr>
          <w:ilvl w:val="0"/>
          <w:numId w:val="0"/>
        </w:numPr>
        <w:rPr>
          <w:rtl/>
        </w:rPr>
      </w:pPr>
      <w:r>
        <w:rPr>
          <w:rtl/>
        </w:rPr>
        <w:tab/>
      </w:r>
      <w:r w:rsidR="00C40576" w:rsidRPr="00C40576">
        <w:rPr>
          <w:rFonts w:ascii="Century" w:hAnsi="Century" w:cs="Miriam"/>
          <w:b/>
          <w:spacing w:val="0"/>
          <w:sz w:val="22"/>
          <w:szCs w:val="24"/>
          <w:rtl/>
        </w:rPr>
        <w:t>הראשון</w:t>
      </w:r>
      <w:r w:rsidR="00C40576">
        <w:rPr>
          <w:rtl/>
        </w:rPr>
        <w:t>, כאשר מדובר בעבירה שבוצעה מיום התחילה ואילך. במצב כזה הוראות הרפורמה חלות על נסיבות המקרה (שם, בסעיף 25(א))</w:t>
      </w:r>
      <w:r>
        <w:rPr>
          <w:rFonts w:hint="cs"/>
          <w:rtl/>
        </w:rPr>
        <w:t>;</w:t>
      </w:r>
      <w:r w:rsidR="00E42FFB">
        <w:rPr>
          <w:rFonts w:hint="cs"/>
          <w:rtl/>
        </w:rPr>
        <w:t xml:space="preserve"> </w:t>
      </w:r>
      <w:r w:rsidR="00C40576" w:rsidRPr="00385432">
        <w:rPr>
          <w:rFonts w:ascii="Century" w:hAnsi="Century" w:cs="Miriam"/>
          <w:b/>
          <w:spacing w:val="0"/>
          <w:sz w:val="22"/>
          <w:szCs w:val="24"/>
          <w:rtl/>
        </w:rPr>
        <w:t>השני</w:t>
      </w:r>
      <w:r w:rsidR="00C40576">
        <w:rPr>
          <w:rtl/>
        </w:rPr>
        <w:t xml:space="preserve">, כאשר העבירה בוצעה </w:t>
      </w:r>
      <w:r w:rsidR="00C40576">
        <w:rPr>
          <w:rtl/>
        </w:rPr>
        <w:lastRenderedPageBreak/>
        <w:t>"לפני יום התחילה וטרם ניתן פסק דין חלוט בעניינה". במקרה כזה, נקבע כי יחולו הוראות סעיף 5(א) לחוק, שלפיה</w:t>
      </w:r>
      <w:r w:rsidR="00AE3442">
        <w:rPr>
          <w:rFonts w:hint="cs"/>
          <w:rtl/>
        </w:rPr>
        <w:t>ן</w:t>
      </w:r>
      <w:r w:rsidR="00C40576">
        <w:rPr>
          <w:rtl/>
        </w:rPr>
        <w:t xml:space="preserve"> "נעברה עבירה ובטרם ניתן פסק-דין חלוט לגביה, חל שינוי בנוגע להגדרתה או לאחריות לה, או בנוגע לעונש שנקבע לה, יחול על </w:t>
      </w:r>
      <w:proofErr w:type="spellStart"/>
      <w:r w:rsidR="00C40576">
        <w:rPr>
          <w:rtl/>
        </w:rPr>
        <w:t>הענין</w:t>
      </w:r>
      <w:proofErr w:type="spellEnd"/>
      <w:r w:rsidR="00C40576">
        <w:rPr>
          <w:rtl/>
        </w:rPr>
        <w:t xml:space="preserve"> החיקוק המקל עם העושה". עוד נקבע, כי בבוא בית המשפט לקבוע מהו הדין המקל עם העושה, יבחן את מלוא ההסדר הקבוע בחוק לעומת ההסדר שהיה קבוע בחוק לעניין גרימת מוות ערב יום התחילה (סע</w:t>
      </w:r>
      <w:r w:rsidR="00DE12ED">
        <w:rPr>
          <w:rtl/>
        </w:rPr>
        <w:t>יף 25(ב) לתיקון)</w:t>
      </w:r>
      <w:r w:rsidR="00DE12ED">
        <w:rPr>
          <w:rFonts w:hint="cs"/>
          <w:rtl/>
        </w:rPr>
        <w:t xml:space="preserve">; </w:t>
      </w:r>
      <w:r w:rsidR="00C40576" w:rsidRPr="00C40576">
        <w:rPr>
          <w:rFonts w:ascii="Century" w:hAnsi="Century" w:cs="Miriam"/>
          <w:b/>
          <w:spacing w:val="0"/>
          <w:sz w:val="22"/>
          <w:szCs w:val="24"/>
          <w:rtl/>
        </w:rPr>
        <w:t>השלישי</w:t>
      </w:r>
      <w:r w:rsidR="00C40576">
        <w:rPr>
          <w:rtl/>
        </w:rPr>
        <w:t xml:space="preserve">, </w:t>
      </w:r>
      <w:r w:rsidR="00C40576">
        <w:rPr>
          <w:rFonts w:hint="cs"/>
          <w:rtl/>
        </w:rPr>
        <w:t>כאשר מדובר</w:t>
      </w:r>
      <w:r w:rsidR="00C40576">
        <w:rPr>
          <w:rtl/>
        </w:rPr>
        <w:t xml:space="preserve"> בעבירה שבוצעה לפני יום התחילה, ואשר ניתן לפני </w:t>
      </w:r>
      <w:r>
        <w:rPr>
          <w:rtl/>
        </w:rPr>
        <w:t>יום התחילה פסק דין חלוט בעניינה</w:t>
      </w:r>
      <w:r w:rsidR="00C40576">
        <w:rPr>
          <w:rtl/>
        </w:rPr>
        <w:t xml:space="preserve"> </w:t>
      </w:r>
      <w:r w:rsidR="00C40576">
        <w:rPr>
          <w:rFonts w:hint="cs"/>
          <w:rtl/>
        </w:rPr>
        <w:t xml:space="preserve">(ראו בהרחבה: </w:t>
      </w:r>
      <w:r w:rsidR="00DD536B">
        <w:rPr>
          <w:rtl/>
        </w:rPr>
        <w:t>ע"פ 578/21 </w:t>
      </w:r>
      <w:r w:rsidR="00C40576" w:rsidRPr="00C40576">
        <w:rPr>
          <w:rFonts w:ascii="Century" w:hAnsi="Century" w:cs="Miriam"/>
          <w:b/>
          <w:spacing w:val="0"/>
          <w:sz w:val="22"/>
          <w:szCs w:val="24"/>
          <w:rtl/>
        </w:rPr>
        <w:t xml:space="preserve">אבו </w:t>
      </w:r>
      <w:proofErr w:type="spellStart"/>
      <w:r w:rsidR="00C40576" w:rsidRPr="00C40576">
        <w:rPr>
          <w:rFonts w:ascii="Century" w:hAnsi="Century" w:cs="Miriam"/>
          <w:b/>
          <w:spacing w:val="0"/>
          <w:sz w:val="22"/>
          <w:szCs w:val="24"/>
          <w:rtl/>
        </w:rPr>
        <w:t>סרארי</w:t>
      </w:r>
      <w:proofErr w:type="spellEnd"/>
      <w:r w:rsidR="00C40576" w:rsidRPr="00C40576">
        <w:rPr>
          <w:rFonts w:ascii="Century" w:hAnsi="Century" w:cs="Miriam"/>
          <w:b/>
          <w:spacing w:val="0"/>
          <w:sz w:val="22"/>
          <w:szCs w:val="24"/>
          <w:rtl/>
        </w:rPr>
        <w:t xml:space="preserve"> נ' מדינת ישראל</w:t>
      </w:r>
      <w:r w:rsidR="00C40576">
        <w:rPr>
          <w:rFonts w:hint="cs"/>
          <w:rtl/>
        </w:rPr>
        <w:t xml:space="preserve">, פסקה </w:t>
      </w:r>
      <w:r w:rsidR="001A4C3E">
        <w:rPr>
          <w:rFonts w:hint="cs"/>
          <w:rtl/>
        </w:rPr>
        <w:t>20</w:t>
      </w:r>
      <w:r w:rsidR="00C40576">
        <w:rPr>
          <w:rFonts w:hint="cs"/>
          <w:rtl/>
        </w:rPr>
        <w:t xml:space="preserve"> </w:t>
      </w:r>
      <w:r w:rsidR="00C40576" w:rsidRPr="00C40576">
        <w:rPr>
          <w:rtl/>
        </w:rPr>
        <w:t>(</w:t>
      </w:r>
      <w:r w:rsidR="00C40576">
        <w:rPr>
          <w:rFonts w:hint="cs"/>
          <w:rtl/>
        </w:rPr>
        <w:t>16.2.2023</w:t>
      </w:r>
      <w:r w:rsidR="00C40576" w:rsidRPr="00C40576">
        <w:rPr>
          <w:rtl/>
        </w:rPr>
        <w:t>)</w:t>
      </w:r>
      <w:r w:rsidR="00C40576">
        <w:rPr>
          <w:rFonts w:hint="cs"/>
          <w:rtl/>
        </w:rPr>
        <w:t xml:space="preserve"> (להלן: עניין </w:t>
      </w:r>
      <w:r w:rsidR="00C40576" w:rsidRPr="00C40576">
        <w:rPr>
          <w:rFonts w:ascii="Century" w:hAnsi="Century" w:cs="Miriam" w:hint="cs"/>
          <w:b/>
          <w:spacing w:val="0"/>
          <w:sz w:val="22"/>
          <w:szCs w:val="24"/>
          <w:rtl/>
        </w:rPr>
        <w:t xml:space="preserve">אבו </w:t>
      </w:r>
      <w:proofErr w:type="spellStart"/>
      <w:r w:rsidR="00C40576" w:rsidRPr="00C40576">
        <w:rPr>
          <w:rFonts w:ascii="Century" w:hAnsi="Century" w:cs="Miriam" w:hint="cs"/>
          <w:b/>
          <w:spacing w:val="0"/>
          <w:sz w:val="22"/>
          <w:szCs w:val="24"/>
          <w:rtl/>
        </w:rPr>
        <w:t>סרארי</w:t>
      </w:r>
      <w:proofErr w:type="spellEnd"/>
      <w:r w:rsidR="001A4C3E">
        <w:rPr>
          <w:rFonts w:hint="cs"/>
          <w:rtl/>
        </w:rPr>
        <w:t>)</w:t>
      </w:r>
      <w:r w:rsidR="00C40576">
        <w:rPr>
          <w:rFonts w:hint="cs"/>
          <w:rtl/>
        </w:rPr>
        <w:t>)</w:t>
      </w:r>
      <w:r w:rsidR="00C40576" w:rsidRPr="00C40576">
        <w:rPr>
          <w:rtl/>
        </w:rPr>
        <w:t>‏</w:t>
      </w:r>
      <w:r w:rsidR="00C40576">
        <w:rPr>
          <w:rFonts w:hint="cs"/>
          <w:rtl/>
        </w:rPr>
        <w:t>.</w:t>
      </w:r>
    </w:p>
    <w:p w:rsidR="00C40576" w:rsidRDefault="00C40576" w:rsidP="00C40576">
      <w:pPr>
        <w:pStyle w:val="Ruller40"/>
        <w:rPr>
          <w:rtl/>
        </w:rPr>
      </w:pPr>
    </w:p>
    <w:p w:rsidR="00C40576" w:rsidRPr="00C40576" w:rsidRDefault="00C40576" w:rsidP="00C40576">
      <w:pPr>
        <w:pStyle w:val="Ruller4"/>
        <w:rPr>
          <w:rtl/>
        </w:rPr>
      </w:pPr>
      <w:r>
        <w:rPr>
          <w:rFonts w:hint="cs"/>
          <w:rtl/>
        </w:rPr>
        <w:t xml:space="preserve">המקרה שלפנינו נכנס לגדרי המצב השני. משכך, אם הרפורמה מהווה דין מקל עם המערער </w:t>
      </w:r>
      <w:r>
        <w:rPr>
          <w:rtl/>
        </w:rPr>
        <w:t>–</w:t>
      </w:r>
      <w:r>
        <w:rPr>
          <w:rFonts w:hint="cs"/>
          <w:rtl/>
        </w:rPr>
        <w:t xml:space="preserve"> יש ליישמה. אם לא </w:t>
      </w:r>
      <w:r>
        <w:rPr>
          <w:rtl/>
        </w:rPr>
        <w:t>–</w:t>
      </w:r>
      <w:r>
        <w:rPr>
          <w:rFonts w:hint="cs"/>
          <w:rtl/>
        </w:rPr>
        <w:t xml:space="preserve"> יש להחיל בעניינו</w:t>
      </w:r>
      <w:r w:rsidR="00BE5324">
        <w:rPr>
          <w:rFonts w:hint="cs"/>
          <w:rtl/>
        </w:rPr>
        <w:t xml:space="preserve"> של המערער</w:t>
      </w:r>
      <w:r>
        <w:rPr>
          <w:rFonts w:hint="cs"/>
          <w:rtl/>
        </w:rPr>
        <w:t xml:space="preserve"> את הוראות הדין הקודם</w:t>
      </w:r>
      <w:r w:rsidR="00BE5324">
        <w:rPr>
          <w:rFonts w:hint="cs"/>
          <w:rtl/>
        </w:rPr>
        <w:t>, כפי שקבע בית המשפט המחוזי</w:t>
      </w:r>
      <w:r>
        <w:rPr>
          <w:rFonts w:hint="cs"/>
          <w:rtl/>
        </w:rPr>
        <w:t xml:space="preserve">. </w:t>
      </w:r>
    </w:p>
    <w:p w:rsidR="00490CFA" w:rsidRPr="00490CFA" w:rsidRDefault="00490CFA" w:rsidP="00490CFA">
      <w:pPr>
        <w:pStyle w:val="Ruller40"/>
      </w:pPr>
    </w:p>
    <w:p w:rsidR="00BE5324" w:rsidRDefault="003C23B1" w:rsidP="00DC6ACB">
      <w:pPr>
        <w:pStyle w:val="Ruller4"/>
        <w:rPr>
          <w:rtl/>
        </w:rPr>
      </w:pPr>
      <w:r>
        <w:rPr>
          <w:rFonts w:hint="cs"/>
          <w:rtl/>
        </w:rPr>
        <w:t xml:space="preserve">בית המשפט המחוזי מצא כי </w:t>
      </w:r>
      <w:r w:rsidR="00F22076">
        <w:rPr>
          <w:rFonts w:hint="cs"/>
          <w:rtl/>
        </w:rPr>
        <w:t>חלות</w:t>
      </w:r>
      <w:r>
        <w:rPr>
          <w:rFonts w:hint="cs"/>
          <w:rtl/>
        </w:rPr>
        <w:t xml:space="preserve"> בנסיבות העניין </w:t>
      </w:r>
      <w:r w:rsidR="00BE5324">
        <w:rPr>
          <w:rFonts w:hint="cs"/>
          <w:rtl/>
        </w:rPr>
        <w:t>שלוש</w:t>
      </w:r>
      <w:r>
        <w:rPr>
          <w:rFonts w:hint="cs"/>
          <w:rtl/>
        </w:rPr>
        <w:t xml:space="preserve"> נסיבות מחמירו</w:t>
      </w:r>
      <w:r w:rsidR="00BE5324">
        <w:rPr>
          <w:rFonts w:hint="cs"/>
          <w:rtl/>
        </w:rPr>
        <w:t xml:space="preserve">ת מבין אלו הקבועות בסעיף </w:t>
      </w:r>
      <w:r w:rsidR="009F2FB7">
        <w:rPr>
          <w:rFonts w:hint="cs"/>
          <w:rtl/>
        </w:rPr>
        <w:t>301א(א)</w:t>
      </w:r>
      <w:r w:rsidR="00BE5324">
        <w:rPr>
          <w:rFonts w:hint="cs"/>
          <w:rtl/>
        </w:rPr>
        <w:t xml:space="preserve"> לחוק. משכך, לו הייתה מיושמת הרפורמה בעניינו של המערער, הוא היה מורשע בעבירת רצח בנסיבות מחמירות, והרפורמה לא הייתה בגדר דין מקל. המערער משיג על קביעות אלו, שכן לטענתו </w:t>
      </w:r>
      <w:r w:rsidR="00DC6ACB">
        <w:rPr>
          <w:rFonts w:hint="cs"/>
          <w:rtl/>
        </w:rPr>
        <w:t>ה</w:t>
      </w:r>
      <w:r w:rsidR="00BE5324">
        <w:rPr>
          <w:rFonts w:hint="cs"/>
          <w:rtl/>
        </w:rPr>
        <w:t>נ</w:t>
      </w:r>
      <w:r w:rsidR="00885723">
        <w:rPr>
          <w:rFonts w:hint="cs"/>
          <w:rtl/>
        </w:rPr>
        <w:t xml:space="preserve">סיבות </w:t>
      </w:r>
      <w:r w:rsidR="00DC6ACB">
        <w:rPr>
          <w:rFonts w:hint="cs"/>
          <w:rtl/>
        </w:rPr>
        <w:t>ה</w:t>
      </w:r>
      <w:r w:rsidR="00885723">
        <w:rPr>
          <w:rFonts w:hint="cs"/>
          <w:rtl/>
        </w:rPr>
        <w:t>מחמירות אינן מתקיימות</w:t>
      </w:r>
      <w:r w:rsidR="00BE5324">
        <w:rPr>
          <w:rFonts w:hint="cs"/>
          <w:rtl/>
        </w:rPr>
        <w:t xml:space="preserve"> </w:t>
      </w:r>
      <w:r w:rsidR="001576C1">
        <w:rPr>
          <w:rFonts w:hint="cs"/>
          <w:rtl/>
        </w:rPr>
        <w:t xml:space="preserve">בעניינו </w:t>
      </w:r>
      <w:r w:rsidR="00BE5324">
        <w:rPr>
          <w:rFonts w:hint="cs"/>
          <w:rtl/>
        </w:rPr>
        <w:t>ולכן יש להרשיעו בעבירת הרצח הבסיסית</w:t>
      </w:r>
      <w:r w:rsidR="009F2FB7">
        <w:rPr>
          <w:rFonts w:hint="cs"/>
          <w:rtl/>
        </w:rPr>
        <w:t xml:space="preserve">, אשר בצדה עונש </w:t>
      </w:r>
      <w:r w:rsidR="00813A06">
        <w:rPr>
          <w:rFonts w:hint="cs"/>
          <w:rtl/>
        </w:rPr>
        <w:t xml:space="preserve">מרבי של </w:t>
      </w:r>
      <w:r w:rsidR="009F2FB7">
        <w:rPr>
          <w:rFonts w:hint="cs"/>
          <w:rtl/>
        </w:rPr>
        <w:t>מאסר עולם</w:t>
      </w:r>
      <w:r w:rsidR="00513AE8">
        <w:rPr>
          <w:rFonts w:hint="cs"/>
          <w:rtl/>
        </w:rPr>
        <w:t xml:space="preserve"> ולא עונש של מאסר עולם חובה.</w:t>
      </w:r>
    </w:p>
    <w:p w:rsidR="00E3032D" w:rsidRDefault="00E3032D" w:rsidP="00E3032D">
      <w:pPr>
        <w:pStyle w:val="Ruller40"/>
        <w:rPr>
          <w:rtl/>
        </w:rPr>
      </w:pPr>
    </w:p>
    <w:p w:rsidR="00E3032D" w:rsidRPr="00085FDC" w:rsidRDefault="00E3032D" w:rsidP="004F666D">
      <w:pPr>
        <w:pStyle w:val="Ruller40"/>
        <w:rPr>
          <w:rFonts w:ascii="Century" w:hAnsi="Century" w:cs="Miriam"/>
          <w:b/>
          <w:spacing w:val="0"/>
          <w:szCs w:val="24"/>
        </w:rPr>
      </w:pPr>
      <w:r w:rsidRPr="00085FDC">
        <w:rPr>
          <w:rFonts w:ascii="Century" w:hAnsi="Century" w:cs="Miriam" w:hint="cs"/>
          <w:b/>
          <w:spacing w:val="0"/>
          <w:szCs w:val="24"/>
          <w:rtl/>
        </w:rPr>
        <w:t xml:space="preserve">נסיבה מחמירה 1 </w:t>
      </w:r>
      <w:r w:rsidR="00085FDC" w:rsidRPr="00085FDC">
        <w:rPr>
          <w:rFonts w:ascii="Century" w:hAnsi="Century" w:cs="Miriam"/>
          <w:b/>
          <w:spacing w:val="0"/>
          <w:szCs w:val="24"/>
          <w:rtl/>
        </w:rPr>
        <w:t>–</w:t>
      </w:r>
      <w:r w:rsidRPr="00085FDC">
        <w:rPr>
          <w:rFonts w:ascii="Century" w:hAnsi="Century" w:cs="Miriam" w:hint="cs"/>
          <w:b/>
          <w:spacing w:val="0"/>
          <w:szCs w:val="24"/>
          <w:rtl/>
        </w:rPr>
        <w:t xml:space="preserve"> </w:t>
      </w:r>
      <w:r w:rsidR="00085FDC" w:rsidRPr="00085FDC">
        <w:rPr>
          <w:rFonts w:ascii="Century" w:hAnsi="Century" w:cs="Miriam" w:hint="cs"/>
          <w:b/>
          <w:spacing w:val="0"/>
          <w:szCs w:val="24"/>
          <w:rtl/>
        </w:rPr>
        <w:t>"</w:t>
      </w:r>
      <w:r w:rsidRPr="00085FDC">
        <w:rPr>
          <w:rFonts w:ascii="Century" w:hAnsi="Century" w:cs="Miriam"/>
          <w:b/>
          <w:spacing w:val="0"/>
          <w:szCs w:val="24"/>
          <w:rtl/>
        </w:rPr>
        <w:t>המעשה נעשה לאחר תכנון או לאחר הליך ממשי של שקילה וגיבוש החלטה להמית</w:t>
      </w:r>
      <w:r w:rsidR="004F666D">
        <w:rPr>
          <w:rFonts w:ascii="Century" w:hAnsi="Century" w:cs="Miriam" w:hint="cs"/>
          <w:b/>
          <w:spacing w:val="0"/>
          <w:szCs w:val="24"/>
          <w:rtl/>
        </w:rPr>
        <w:t>"</w:t>
      </w:r>
    </w:p>
    <w:p w:rsidR="00F22076" w:rsidRDefault="00F22076" w:rsidP="00F22076">
      <w:pPr>
        <w:pStyle w:val="Ruller4"/>
        <w:numPr>
          <w:ilvl w:val="0"/>
          <w:numId w:val="0"/>
        </w:numPr>
        <w:rPr>
          <w:rtl/>
        </w:rPr>
      </w:pPr>
    </w:p>
    <w:p w:rsidR="00085FDC" w:rsidRDefault="00085FDC" w:rsidP="00813A06">
      <w:pPr>
        <w:pStyle w:val="Ruller4"/>
        <w:rPr>
          <w:rtl/>
        </w:rPr>
      </w:pPr>
      <w:r w:rsidRPr="00085FDC">
        <w:rPr>
          <w:rtl/>
        </w:rPr>
        <w:t xml:space="preserve">סעיף </w:t>
      </w:r>
      <w:r w:rsidRPr="00085FDC">
        <w:rPr>
          <w:rFonts w:hint="cs"/>
          <w:rtl/>
        </w:rPr>
        <w:t xml:space="preserve">זה </w:t>
      </w:r>
      <w:r w:rsidRPr="00085FDC">
        <w:rPr>
          <w:rtl/>
        </w:rPr>
        <w:t xml:space="preserve">מכיל שתי נסיבות חלופיות – </w:t>
      </w:r>
      <w:r w:rsidRPr="00DC6ACB">
        <w:rPr>
          <w:rFonts w:ascii="Century" w:hAnsi="Century" w:cs="Miriam"/>
          <w:b/>
          <w:spacing w:val="0"/>
          <w:sz w:val="22"/>
          <w:szCs w:val="24"/>
          <w:rtl/>
        </w:rPr>
        <w:t>תכנון</w:t>
      </w:r>
      <w:r w:rsidRPr="00085FDC">
        <w:rPr>
          <w:rtl/>
        </w:rPr>
        <w:t xml:space="preserve"> או </w:t>
      </w:r>
      <w:r w:rsidRPr="00DC6ACB">
        <w:rPr>
          <w:rFonts w:ascii="Century" w:hAnsi="Century" w:cs="Miriam"/>
          <w:b/>
          <w:spacing w:val="0"/>
          <w:sz w:val="22"/>
          <w:szCs w:val="24"/>
          <w:rtl/>
        </w:rPr>
        <w:t>הליך ממשי של שקילה וגיבוש החלטה להמית</w:t>
      </w:r>
      <w:r w:rsidRPr="00085FDC">
        <w:rPr>
          <w:rtl/>
        </w:rPr>
        <w:t>. די בהתקיימות אחת מהן כדי להרשיע נאשם בעבירה של רצח בנסיבות מחמירות</w:t>
      </w:r>
      <w:r w:rsidR="00813A06">
        <w:rPr>
          <w:rFonts w:hint="cs"/>
          <w:rtl/>
        </w:rPr>
        <w:t xml:space="preserve"> (</w:t>
      </w:r>
      <w:r w:rsidR="00813A06" w:rsidRPr="00813A06">
        <w:rPr>
          <w:rtl/>
        </w:rPr>
        <w:t xml:space="preserve">ע"פ 7722/19 </w:t>
      </w:r>
      <w:proofErr w:type="spellStart"/>
      <w:r w:rsidR="00813A06" w:rsidRPr="00813A06">
        <w:rPr>
          <w:rFonts w:ascii="Century" w:hAnsi="Century" w:cs="Miriam"/>
          <w:b/>
          <w:spacing w:val="0"/>
          <w:sz w:val="22"/>
          <w:szCs w:val="24"/>
          <w:rtl/>
        </w:rPr>
        <w:t>זרסנאי</w:t>
      </w:r>
      <w:proofErr w:type="spellEnd"/>
      <w:r w:rsidR="00813A06" w:rsidRPr="00813A06">
        <w:rPr>
          <w:rFonts w:ascii="Century" w:hAnsi="Century" w:cs="Miriam"/>
          <w:b/>
          <w:spacing w:val="0"/>
          <w:sz w:val="22"/>
          <w:szCs w:val="24"/>
          <w:rtl/>
        </w:rPr>
        <w:t xml:space="preserve"> נ' מדינת ישראל</w:t>
      </w:r>
      <w:r w:rsidR="00813A06">
        <w:rPr>
          <w:rFonts w:hint="cs"/>
          <w:rtl/>
        </w:rPr>
        <w:t>, פסקה 20</w:t>
      </w:r>
      <w:r w:rsidR="00813A06" w:rsidRPr="00813A06">
        <w:rPr>
          <w:rtl/>
        </w:rPr>
        <w:t xml:space="preserve"> (19.</w:t>
      </w:r>
      <w:r w:rsidR="00813A06">
        <w:rPr>
          <w:rFonts w:hint="cs"/>
          <w:rtl/>
        </w:rPr>
        <w:t>4</w:t>
      </w:r>
      <w:r w:rsidR="00813A06" w:rsidRPr="00813A06">
        <w:rPr>
          <w:rtl/>
        </w:rPr>
        <w:t>.2021)</w:t>
      </w:r>
      <w:r w:rsidR="00813A06">
        <w:rPr>
          <w:rFonts w:hint="cs"/>
          <w:rtl/>
        </w:rPr>
        <w:t>)</w:t>
      </w:r>
      <w:r w:rsidRPr="00813A06">
        <w:rPr>
          <w:rFonts w:hint="cs"/>
          <w:rtl/>
        </w:rPr>
        <w:t>.</w:t>
      </w:r>
      <w:r w:rsidRPr="00085FDC">
        <w:rPr>
          <w:rFonts w:hint="cs"/>
          <w:rtl/>
        </w:rPr>
        <w:t xml:space="preserve"> </w:t>
      </w:r>
      <w:r w:rsidR="005C1A55">
        <w:rPr>
          <w:rFonts w:hint="cs"/>
          <w:rtl/>
        </w:rPr>
        <w:t>לאחרונה, עמדתי בה</w:t>
      </w:r>
      <w:r>
        <w:rPr>
          <w:rFonts w:hint="cs"/>
          <w:rtl/>
        </w:rPr>
        <w:t>רחבה על פרשנות נסיבה מחמירה זו</w:t>
      </w:r>
      <w:r w:rsidR="00513AE8">
        <w:rPr>
          <w:rFonts w:hint="cs"/>
          <w:rtl/>
        </w:rPr>
        <w:t>,</w:t>
      </w:r>
      <w:r w:rsidR="00392715">
        <w:rPr>
          <w:rFonts w:hint="cs"/>
          <w:rtl/>
        </w:rPr>
        <w:t xml:space="preserve"> ו</w:t>
      </w:r>
      <w:r>
        <w:rPr>
          <w:rFonts w:hint="cs"/>
          <w:rtl/>
        </w:rPr>
        <w:t xml:space="preserve">אין לי אלא לשוב על שקבעתי שם: </w:t>
      </w:r>
    </w:p>
    <w:p w:rsidR="00085FDC" w:rsidRPr="00085FDC" w:rsidRDefault="00085FDC" w:rsidP="00085FDC">
      <w:pPr>
        <w:pStyle w:val="Ruller40"/>
      </w:pPr>
    </w:p>
    <w:p w:rsidR="009E3B0A" w:rsidRPr="00085FDC" w:rsidRDefault="00085FDC" w:rsidP="000D4455">
      <w:pPr>
        <w:pStyle w:val="Ruller5"/>
        <w:rPr>
          <w:rtl/>
        </w:rPr>
      </w:pPr>
      <w:r>
        <w:rPr>
          <w:rtl/>
        </w:rPr>
        <w:t xml:space="preserve">"ניסוח הנסיבה המחמירה נועד להבהיר את כוונת המחוקק לשנות מהמצב שחל עובר לרפורמה ולקבוע שמקרים של המתה בכוונה שנוצרה באופן ספונטני לא ייכנסו בגדרי נסיבה מחמירה זו (דברי ההסבר, בעמוד 170). זאת, תוך יצירת הבחנה בין מקרים שבהם מעשה הרצח בוצע לאחר שהעושה שקל והחליט להמית את הקרבן – אשר ייכנסו לגדרי הסעיף; לבין מקרים שבהם </w:t>
      </w:r>
      <w:r>
        <w:rPr>
          <w:rtl/>
        </w:rPr>
        <w:lastRenderedPageBreak/>
        <w:t>ההחלטה להמית התגבשה באופן ספונטני, ללא הפעלת שיקול דעת של ממש, וללא הכנה הכוללת פעולות מקדימות שביצע העושה קודם לביצוע הרצח – אשר יוותרו מחוצה לו</w:t>
      </w:r>
      <w:r>
        <w:rPr>
          <w:rFonts w:hint="cs"/>
          <w:rtl/>
        </w:rPr>
        <w:t xml:space="preserve"> [...]</w:t>
      </w:r>
      <w:r w:rsidR="009E3B0A">
        <w:rPr>
          <w:rFonts w:hint="cs"/>
          <w:rtl/>
        </w:rPr>
        <w:t xml:space="preserve">. </w:t>
      </w:r>
      <w:r w:rsidR="009E3B0A">
        <w:rPr>
          <w:rtl/>
        </w:rPr>
        <w:t>מחד גיסא, יש להקנות לסעיף וחלופותיו פרשנות רחבה דיה על מנת שיחול על אותם מקרים המגלמים את מידת האשם וטיב ההתנהגות המצדיקים זאת; מאידך גיסא, אם נפרשו בהרחבה יתרה, נמצא עצמנו קרובים ל</w:t>
      </w:r>
      <w:r w:rsidR="000D4455">
        <w:rPr>
          <w:rFonts w:hint="cs"/>
          <w:rtl/>
        </w:rPr>
        <w:t>'</w:t>
      </w:r>
      <w:r w:rsidR="009E3B0A">
        <w:rPr>
          <w:rtl/>
        </w:rPr>
        <w:t>נקודת ההתחלה</w:t>
      </w:r>
      <w:r w:rsidR="000D4455">
        <w:rPr>
          <w:rFonts w:hint="cs"/>
          <w:rtl/>
        </w:rPr>
        <w:t xml:space="preserve">' </w:t>
      </w:r>
      <w:r w:rsidR="009E3B0A">
        <w:rPr>
          <w:rtl/>
        </w:rPr>
        <w:t>שקדמה לרפורמה. מלאכת איזון עדינה זו מחייבת אותנו לפסוע בזהירות עת שאנחנו בוחנים כל מקרה ונסיבותיו</w:t>
      </w:r>
      <w:r w:rsidR="009E3B0A">
        <w:rPr>
          <w:rFonts w:hint="cs"/>
          <w:rtl/>
        </w:rPr>
        <w:t xml:space="preserve">" (עניין </w:t>
      </w:r>
      <w:r w:rsidR="009E3B0A" w:rsidRPr="004F666D">
        <w:rPr>
          <w:rFonts w:ascii="Century" w:hAnsi="Century" w:cs="Miriam" w:hint="cs"/>
          <w:b/>
          <w:spacing w:val="0"/>
          <w:szCs w:val="24"/>
          <w:rtl/>
        </w:rPr>
        <w:t xml:space="preserve">אבו </w:t>
      </w:r>
      <w:proofErr w:type="spellStart"/>
      <w:r w:rsidR="009E3B0A" w:rsidRPr="004F666D">
        <w:rPr>
          <w:rFonts w:ascii="Century" w:hAnsi="Century" w:cs="Miriam" w:hint="cs"/>
          <w:b/>
          <w:spacing w:val="0"/>
          <w:szCs w:val="24"/>
          <w:rtl/>
        </w:rPr>
        <w:t>סרארי</w:t>
      </w:r>
      <w:proofErr w:type="spellEnd"/>
      <w:r w:rsidR="009E3B0A">
        <w:rPr>
          <w:rFonts w:hint="cs"/>
          <w:rtl/>
        </w:rPr>
        <w:t xml:space="preserve">, בפסקאות 33-32). </w:t>
      </w:r>
    </w:p>
    <w:p w:rsidR="00085FDC" w:rsidRDefault="00085FDC" w:rsidP="00085FDC">
      <w:pPr>
        <w:pStyle w:val="Ruller5"/>
        <w:rPr>
          <w:rtl/>
        </w:rPr>
      </w:pPr>
    </w:p>
    <w:p w:rsidR="009E27FC" w:rsidRDefault="005C1A55" w:rsidP="00813A06">
      <w:pPr>
        <w:pStyle w:val="Ruller4"/>
      </w:pPr>
      <w:r>
        <w:rPr>
          <w:rFonts w:hint="cs"/>
          <w:rtl/>
        </w:rPr>
        <w:t>גם בראי זאת, המקרה שלפנינו נכנס בבירור לגדרי הנסיבה המחמירה. משנדחו השגות המערער על ממצאיו העובדתיים של בית המשפט המחוזי, קצרה הדרך לדחיית טענתו כי מדובר במעשה המתה ספונט</w:t>
      </w:r>
      <w:r w:rsidR="009E27FC">
        <w:rPr>
          <w:rFonts w:hint="cs"/>
          <w:rtl/>
        </w:rPr>
        <w:t>ני שנעשה לאחר קנטור סובייקטיבי.</w:t>
      </w:r>
    </w:p>
    <w:p w:rsidR="009E27FC" w:rsidRDefault="009E27FC" w:rsidP="009E27FC">
      <w:pPr>
        <w:pStyle w:val="Ruller4"/>
        <w:numPr>
          <w:ilvl w:val="0"/>
          <w:numId w:val="0"/>
        </w:numPr>
        <w:rPr>
          <w:rtl/>
        </w:rPr>
      </w:pPr>
    </w:p>
    <w:p w:rsidR="0080172C" w:rsidRDefault="009E27FC" w:rsidP="005C356F">
      <w:pPr>
        <w:pStyle w:val="Ruller4"/>
        <w:numPr>
          <w:ilvl w:val="0"/>
          <w:numId w:val="0"/>
        </w:numPr>
        <w:rPr>
          <w:rtl/>
        </w:rPr>
      </w:pPr>
      <w:r>
        <w:rPr>
          <w:rtl/>
        </w:rPr>
        <w:tab/>
      </w:r>
      <w:r w:rsidR="005C1A55">
        <w:rPr>
          <w:rFonts w:hint="cs"/>
          <w:rtl/>
        </w:rPr>
        <w:t xml:space="preserve">לפנינו </w:t>
      </w:r>
      <w:r>
        <w:rPr>
          <w:rFonts w:hint="cs"/>
          <w:rtl/>
        </w:rPr>
        <w:t>מספר</w:t>
      </w:r>
      <w:r w:rsidR="005C1A55">
        <w:rPr>
          <w:rFonts w:hint="cs"/>
          <w:rtl/>
        </w:rPr>
        <w:t xml:space="preserve"> ראיות המלמדות כי </w:t>
      </w:r>
      <w:r w:rsidR="00D0445E">
        <w:rPr>
          <w:rFonts w:hint="cs"/>
          <w:rtl/>
        </w:rPr>
        <w:t xml:space="preserve">שתי החלופות בנסיבה </w:t>
      </w:r>
      <w:r w:rsidR="005C356F">
        <w:rPr>
          <w:rFonts w:hint="cs"/>
          <w:rtl/>
        </w:rPr>
        <w:t xml:space="preserve">מחמירה זו </w:t>
      </w:r>
      <w:r w:rsidR="00D0445E">
        <w:rPr>
          <w:rFonts w:hint="cs"/>
          <w:rtl/>
        </w:rPr>
        <w:t>מתקיימות</w:t>
      </w:r>
      <w:r w:rsidR="005C356F">
        <w:rPr>
          <w:rFonts w:hint="cs"/>
          <w:rtl/>
        </w:rPr>
        <w:t xml:space="preserve"> בעניינו של המערער</w:t>
      </w:r>
      <w:r w:rsidR="00D0445E">
        <w:rPr>
          <w:rFonts w:hint="cs"/>
          <w:rtl/>
        </w:rPr>
        <w:t xml:space="preserve"> </w:t>
      </w:r>
      <w:r w:rsidR="00D0445E">
        <w:rPr>
          <w:rtl/>
        </w:rPr>
        <w:t>–</w:t>
      </w:r>
      <w:r w:rsidR="00D0445E">
        <w:rPr>
          <w:rFonts w:hint="cs"/>
          <w:rtl/>
        </w:rPr>
        <w:t xml:space="preserve"> </w:t>
      </w:r>
      <w:r w:rsidR="005C356F">
        <w:rPr>
          <w:rFonts w:hint="cs"/>
          <w:rtl/>
        </w:rPr>
        <w:t>אמירותיו</w:t>
      </w:r>
      <w:r w:rsidR="005C1A55">
        <w:rPr>
          <w:rFonts w:hint="cs"/>
          <w:rtl/>
        </w:rPr>
        <w:t xml:space="preserve"> לאחות, הן בשיחה הראשונה הן בשיחה </w:t>
      </w:r>
      <w:proofErr w:type="spellStart"/>
      <w:r w:rsidR="005C1A55">
        <w:rPr>
          <w:rFonts w:hint="cs"/>
          <w:rtl/>
        </w:rPr>
        <w:t>השניה</w:t>
      </w:r>
      <w:proofErr w:type="spellEnd"/>
      <w:r w:rsidR="005C1A55">
        <w:rPr>
          <w:rFonts w:hint="cs"/>
          <w:rtl/>
        </w:rPr>
        <w:t xml:space="preserve">; השיחה המקדימה; ואקט ההמתה עצמו שכלל שלושה שלבי חניקה שונים. </w:t>
      </w:r>
      <w:r w:rsidR="00CD1670">
        <w:rPr>
          <w:rFonts w:hint="cs"/>
          <w:rtl/>
        </w:rPr>
        <w:t xml:space="preserve">לעניין זה, כבר ציינתי </w:t>
      </w:r>
      <w:r w:rsidR="00CD1670" w:rsidRPr="00CD1670">
        <w:rPr>
          <w:rFonts w:hint="cs"/>
          <w:rtl/>
        </w:rPr>
        <w:t xml:space="preserve">בעבר כי </w:t>
      </w:r>
      <w:r w:rsidR="00CD1670" w:rsidRPr="00CD1670">
        <w:rPr>
          <w:rtl/>
        </w:rPr>
        <w:t>"</w:t>
      </w:r>
      <w:r w:rsidR="00CD1670" w:rsidRPr="00CD1670">
        <w:rPr>
          <w:rFonts w:hint="cs"/>
          <w:rtl/>
        </w:rPr>
        <w:t>[...]</w:t>
      </w:r>
      <w:r w:rsidR="00CD1670" w:rsidRPr="00CD1670">
        <w:rPr>
          <w:rtl/>
        </w:rPr>
        <w:t xml:space="preserve"> החונק אדם ממושכות, מוחזק כמבין היטב את הסבירות הגבוהה של גרימת מעשיו לתוצאת ההמתה</w:t>
      </w:r>
      <w:r w:rsidR="00CD1670" w:rsidRPr="00CD1670">
        <w:rPr>
          <w:rFonts w:hint="cs"/>
          <w:rtl/>
        </w:rPr>
        <w:t xml:space="preserve">" </w:t>
      </w:r>
      <w:r w:rsidR="00CD1670">
        <w:rPr>
          <w:rFonts w:hint="cs"/>
          <w:rtl/>
        </w:rPr>
        <w:t>(</w:t>
      </w:r>
      <w:r w:rsidR="00CD1670" w:rsidRPr="00CD1670">
        <w:rPr>
          <w:rtl/>
        </w:rPr>
        <w:t>תפ"ח (מחוזי חי') 27237-11-10 </w:t>
      </w:r>
      <w:r w:rsidR="00CD1670" w:rsidRPr="00CD1670">
        <w:rPr>
          <w:rFonts w:ascii="Century" w:hAnsi="Century" w:cs="Miriam"/>
          <w:b/>
          <w:spacing w:val="0"/>
          <w:sz w:val="22"/>
          <w:szCs w:val="24"/>
          <w:rtl/>
        </w:rPr>
        <w:t xml:space="preserve">מדינת ישראל נ' </w:t>
      </w:r>
      <w:proofErr w:type="spellStart"/>
      <w:r w:rsidR="00CD1670" w:rsidRPr="00CD1670">
        <w:rPr>
          <w:rFonts w:ascii="Century" w:hAnsi="Century" w:cs="Miriam"/>
          <w:b/>
          <w:spacing w:val="0"/>
          <w:sz w:val="22"/>
          <w:szCs w:val="24"/>
          <w:rtl/>
        </w:rPr>
        <w:t>עמאש</w:t>
      </w:r>
      <w:proofErr w:type="spellEnd"/>
      <w:r w:rsidR="00CD1670" w:rsidRPr="00CD1670">
        <w:rPr>
          <w:rtl/>
        </w:rPr>
        <w:t> (</w:t>
      </w:r>
      <w:r w:rsidR="00CD1670">
        <w:rPr>
          <w:rFonts w:hint="cs"/>
          <w:rtl/>
        </w:rPr>
        <w:t>29.8.2011</w:t>
      </w:r>
      <w:r w:rsidR="00CD1670" w:rsidRPr="00CD1670">
        <w:rPr>
          <w:rtl/>
        </w:rPr>
        <w:t>)‏</w:t>
      </w:r>
      <w:r w:rsidR="00CD1670">
        <w:rPr>
          <w:rFonts w:hint="cs"/>
          <w:rtl/>
        </w:rPr>
        <w:t>)</w:t>
      </w:r>
      <w:r w:rsidR="00CD1670" w:rsidRPr="00CD1670">
        <w:rPr>
          <w:rtl/>
        </w:rPr>
        <w:t>‏</w:t>
      </w:r>
      <w:r w:rsidR="00CD1670" w:rsidRPr="00CD1670">
        <w:rPr>
          <w:rFonts w:hint="cs"/>
          <w:rtl/>
        </w:rPr>
        <w:t>.</w:t>
      </w:r>
      <w:r w:rsidR="0080172C">
        <w:rPr>
          <w:rFonts w:hint="cs"/>
          <w:color w:val="000000"/>
          <w:sz w:val="27"/>
          <w:szCs w:val="27"/>
          <w:rtl/>
        </w:rPr>
        <w:t xml:space="preserve"> </w:t>
      </w:r>
      <w:r w:rsidR="0080172C" w:rsidRPr="0080172C">
        <w:rPr>
          <w:rFonts w:hint="cs"/>
          <w:rtl/>
        </w:rPr>
        <w:t>מכאן, ש</w:t>
      </w:r>
      <w:r w:rsidR="00CD1670" w:rsidRPr="0080172C">
        <w:rPr>
          <w:rFonts w:hint="cs"/>
          <w:rtl/>
        </w:rPr>
        <w:t>דרך ההמתה</w:t>
      </w:r>
      <w:r w:rsidR="00CD1670" w:rsidRPr="00CD1670">
        <w:rPr>
          <w:rFonts w:hint="cs"/>
          <w:rtl/>
        </w:rPr>
        <w:t xml:space="preserve"> שבה נקט המערער, כשלעצמה, מקשה עד מאוד לקבל טענה כי מדובר היה במעשה ספונטאני.</w:t>
      </w:r>
      <w:r w:rsidR="0080172C">
        <w:rPr>
          <w:rFonts w:hint="cs"/>
          <w:rtl/>
        </w:rPr>
        <w:t xml:space="preserve"> </w:t>
      </w:r>
      <w:r w:rsidR="005C1A55">
        <w:rPr>
          <w:rFonts w:hint="cs"/>
          <w:rtl/>
        </w:rPr>
        <w:t>לכל זאת יש להוסיף את העובדה כי המערער לא הזעיק כאמור עזרה רפואית למנוחה, אלא השליך את גופתה בחורש</w:t>
      </w:r>
      <w:r w:rsidR="0080172C">
        <w:rPr>
          <w:rFonts w:hint="cs"/>
          <w:rtl/>
        </w:rPr>
        <w:t>ה ופעל על מנת לטשטש את עקבותיו.</w:t>
      </w:r>
    </w:p>
    <w:p w:rsidR="0080172C" w:rsidRDefault="0080172C" w:rsidP="0080172C">
      <w:pPr>
        <w:pStyle w:val="Ruller4"/>
        <w:numPr>
          <w:ilvl w:val="0"/>
          <w:numId w:val="0"/>
        </w:numPr>
        <w:rPr>
          <w:rtl/>
        </w:rPr>
      </w:pPr>
    </w:p>
    <w:p w:rsidR="005C1A55" w:rsidRPr="00E11B0C" w:rsidRDefault="0080172C" w:rsidP="0080172C">
      <w:pPr>
        <w:pStyle w:val="Ruller4"/>
        <w:numPr>
          <w:ilvl w:val="0"/>
          <w:numId w:val="0"/>
        </w:numPr>
        <w:rPr>
          <w:rtl/>
        </w:rPr>
      </w:pPr>
      <w:r>
        <w:rPr>
          <w:rtl/>
        </w:rPr>
        <w:tab/>
      </w:r>
      <w:r w:rsidR="00D0445E">
        <w:rPr>
          <w:rFonts w:hint="cs"/>
          <w:rtl/>
        </w:rPr>
        <w:t xml:space="preserve">התמונה </w:t>
      </w:r>
      <w:r w:rsidR="00813A06">
        <w:rPr>
          <w:rFonts w:hint="cs"/>
          <w:rtl/>
        </w:rPr>
        <w:t>ה</w:t>
      </w:r>
      <w:r w:rsidR="00392715">
        <w:rPr>
          <w:rFonts w:hint="cs"/>
          <w:rtl/>
        </w:rPr>
        <w:t>עולה בבירור</w:t>
      </w:r>
      <w:r w:rsidR="00D0445E">
        <w:rPr>
          <w:rFonts w:hint="cs"/>
          <w:rtl/>
        </w:rPr>
        <w:t xml:space="preserve"> מחומר הראיות היא שהמערער</w:t>
      </w:r>
      <w:r w:rsidR="005C1A55">
        <w:rPr>
          <w:rFonts w:hint="cs"/>
          <w:rtl/>
        </w:rPr>
        <w:t xml:space="preserve"> לא נהג כמי שזה עתה נתקף בחמת זעם והמית את רעייתו, אלא כמי שהמיתה באופן נחוש, שקול ומחושב. </w:t>
      </w:r>
    </w:p>
    <w:p w:rsidR="005C1A55" w:rsidRDefault="005C1A55" w:rsidP="005C1A55">
      <w:pPr>
        <w:pStyle w:val="Ruller40"/>
        <w:rPr>
          <w:rtl/>
        </w:rPr>
      </w:pPr>
    </w:p>
    <w:p w:rsidR="004B17E5" w:rsidRPr="004F666D" w:rsidRDefault="004B17E5" w:rsidP="004F666D">
      <w:pPr>
        <w:pStyle w:val="Ruller4"/>
        <w:numPr>
          <w:ilvl w:val="0"/>
          <w:numId w:val="0"/>
        </w:numPr>
        <w:rPr>
          <w:rFonts w:ascii="Century" w:hAnsi="Century" w:cs="Miriam"/>
          <w:b/>
          <w:spacing w:val="0"/>
          <w:sz w:val="22"/>
          <w:szCs w:val="24"/>
          <w:rtl/>
        </w:rPr>
      </w:pPr>
      <w:r w:rsidRPr="004F666D">
        <w:rPr>
          <w:rFonts w:ascii="Century" w:hAnsi="Century" w:cs="Miriam" w:hint="cs"/>
          <w:b/>
          <w:spacing w:val="0"/>
          <w:sz w:val="22"/>
          <w:szCs w:val="24"/>
          <w:rtl/>
        </w:rPr>
        <w:t xml:space="preserve">נסיבה מחמירה 5 </w:t>
      </w:r>
      <w:r w:rsidRPr="004F666D">
        <w:rPr>
          <w:rFonts w:ascii="Century" w:hAnsi="Century" w:cs="Miriam"/>
          <w:b/>
          <w:spacing w:val="0"/>
          <w:sz w:val="22"/>
          <w:szCs w:val="24"/>
          <w:rtl/>
        </w:rPr>
        <w:t>–</w:t>
      </w:r>
      <w:r w:rsidR="004F666D" w:rsidRPr="004F666D">
        <w:rPr>
          <w:rFonts w:ascii="Century" w:hAnsi="Century" w:cs="Miriam" w:hint="cs"/>
          <w:b/>
          <w:spacing w:val="0"/>
          <w:sz w:val="22"/>
          <w:szCs w:val="24"/>
          <w:rtl/>
        </w:rPr>
        <w:t xml:space="preserve"> </w:t>
      </w:r>
      <w:r w:rsidR="004F666D">
        <w:rPr>
          <w:rFonts w:ascii="Century" w:hAnsi="Century" w:cs="Miriam" w:hint="cs"/>
          <w:b/>
          <w:spacing w:val="0"/>
          <w:sz w:val="22"/>
          <w:szCs w:val="24"/>
          <w:rtl/>
        </w:rPr>
        <w:t>"</w:t>
      </w:r>
      <w:r w:rsidR="004F666D" w:rsidRPr="004F666D">
        <w:rPr>
          <w:rFonts w:ascii="Century" w:hAnsi="Century" w:cs="Miriam"/>
          <w:b/>
          <w:spacing w:val="0"/>
          <w:sz w:val="22"/>
          <w:szCs w:val="24"/>
          <w:rtl/>
        </w:rPr>
        <w:t xml:space="preserve">המעשה נעשה כפעולה </w:t>
      </w:r>
      <w:proofErr w:type="spellStart"/>
      <w:r w:rsidR="004F666D" w:rsidRPr="004F666D">
        <w:rPr>
          <w:rFonts w:ascii="Century" w:hAnsi="Century" w:cs="Miriam"/>
          <w:b/>
          <w:spacing w:val="0"/>
          <w:sz w:val="22"/>
          <w:szCs w:val="24"/>
          <w:rtl/>
        </w:rPr>
        <w:t>עונשית</w:t>
      </w:r>
      <w:proofErr w:type="spellEnd"/>
      <w:r w:rsidR="004F666D" w:rsidRPr="004F666D">
        <w:rPr>
          <w:rFonts w:ascii="Century" w:hAnsi="Century" w:cs="Miriam"/>
          <w:b/>
          <w:spacing w:val="0"/>
          <w:sz w:val="22"/>
          <w:szCs w:val="24"/>
          <w:rtl/>
        </w:rPr>
        <w:t xml:space="preserve"> במטרה להטיל מרות או מורא ולכפות אורחות התנהגות על ציבור</w:t>
      </w:r>
      <w:r w:rsidR="004F666D">
        <w:rPr>
          <w:rFonts w:ascii="Century" w:hAnsi="Century" w:cs="Miriam" w:hint="cs"/>
          <w:b/>
          <w:spacing w:val="0"/>
          <w:sz w:val="22"/>
          <w:szCs w:val="24"/>
          <w:rtl/>
        </w:rPr>
        <w:t>"</w:t>
      </w:r>
      <w:r w:rsidRPr="004F666D">
        <w:rPr>
          <w:rFonts w:ascii="Century" w:hAnsi="Century" w:cs="Miriam" w:hint="cs"/>
          <w:b/>
          <w:spacing w:val="0"/>
          <w:sz w:val="22"/>
          <w:szCs w:val="24"/>
          <w:rtl/>
        </w:rPr>
        <w:t xml:space="preserve"> </w:t>
      </w:r>
    </w:p>
    <w:p w:rsidR="004B17E5" w:rsidRDefault="004B17E5" w:rsidP="004B17E5">
      <w:pPr>
        <w:pStyle w:val="Ruller40"/>
        <w:rPr>
          <w:rtl/>
        </w:rPr>
      </w:pPr>
    </w:p>
    <w:p w:rsidR="009E27FC" w:rsidRDefault="009B0D7D" w:rsidP="001A4C3E">
      <w:pPr>
        <w:pStyle w:val="Ruller4"/>
      </w:pPr>
      <w:r>
        <w:rPr>
          <w:rFonts w:hint="cs"/>
          <w:rtl/>
        </w:rPr>
        <w:t>ב</w:t>
      </w:r>
      <w:r w:rsidR="004B17E5">
        <w:rPr>
          <w:rtl/>
        </w:rPr>
        <w:t xml:space="preserve">נסיבה מחמירה זו </w:t>
      </w:r>
      <w:r>
        <w:rPr>
          <w:rFonts w:hint="cs"/>
          <w:rtl/>
        </w:rPr>
        <w:t>נכללים למעשה</w:t>
      </w:r>
      <w:r w:rsidR="004B17E5">
        <w:rPr>
          <w:rtl/>
        </w:rPr>
        <w:t xml:space="preserve"> שני רכיבים</w:t>
      </w:r>
      <w:r>
        <w:rPr>
          <w:rFonts w:hint="cs"/>
          <w:rtl/>
        </w:rPr>
        <w:t xml:space="preserve"> </w:t>
      </w:r>
      <w:r w:rsidR="004B17E5">
        <w:rPr>
          <w:rtl/>
        </w:rPr>
        <w:t xml:space="preserve">– הראשון, כי "המעשה נעשה כפעולה </w:t>
      </w:r>
      <w:proofErr w:type="spellStart"/>
      <w:r w:rsidR="004B17E5">
        <w:rPr>
          <w:rtl/>
        </w:rPr>
        <w:t>עונשית</w:t>
      </w:r>
      <w:proofErr w:type="spellEnd"/>
      <w:r w:rsidR="004B17E5">
        <w:rPr>
          <w:rtl/>
        </w:rPr>
        <w:t xml:space="preserve">"; השני, יסוד נפשי שלפיו אותה פעולה </w:t>
      </w:r>
      <w:proofErr w:type="spellStart"/>
      <w:r w:rsidR="004B17E5">
        <w:rPr>
          <w:rtl/>
        </w:rPr>
        <w:t>עונשית</w:t>
      </w:r>
      <w:proofErr w:type="spellEnd"/>
      <w:r w:rsidR="004B17E5">
        <w:rPr>
          <w:rtl/>
        </w:rPr>
        <w:t xml:space="preserve"> נעשתה "במטרה להטיל מרות או מורא ולכפות אורחות התנהגות על ציבור". ניתן אפוא לתאר</w:t>
      </w:r>
      <w:r>
        <w:rPr>
          <w:rFonts w:hint="cs"/>
          <w:rtl/>
        </w:rPr>
        <w:t>ה</w:t>
      </w:r>
      <w:r w:rsidR="004B17E5">
        <w:rPr>
          <w:rtl/>
        </w:rPr>
        <w:t xml:space="preserve"> כמתייחסת לשני מעגלים – </w:t>
      </w:r>
      <w:r w:rsidR="004B17E5" w:rsidRPr="004F666D">
        <w:rPr>
          <w:rFonts w:ascii="Century" w:hAnsi="Century" w:cs="Miriam"/>
          <w:b/>
          <w:spacing w:val="0"/>
          <w:sz w:val="22"/>
          <w:szCs w:val="24"/>
          <w:rtl/>
        </w:rPr>
        <w:t>מעגל פנימי</w:t>
      </w:r>
      <w:r w:rsidR="004B17E5">
        <w:rPr>
          <w:rtl/>
        </w:rPr>
        <w:t xml:space="preserve">, שבו מדובר על כך שמעשה ההמתה בוצע כאקט עונשי, בגדר ענישה פרטית של הרוצח כלפי הקורבן, המבוסס על תפיסה תרבותית או אידיאולוגית </w:t>
      </w:r>
      <w:r w:rsidR="004B17E5">
        <w:rPr>
          <w:rtl/>
        </w:rPr>
        <w:lastRenderedPageBreak/>
        <w:t xml:space="preserve">כזו או אחרת; </w:t>
      </w:r>
      <w:r w:rsidR="004B17E5" w:rsidRPr="006B31FC">
        <w:rPr>
          <w:rFonts w:ascii="Century" w:hAnsi="Century" w:cs="Miriam"/>
          <w:b/>
          <w:spacing w:val="0"/>
          <w:sz w:val="22"/>
          <w:szCs w:val="24"/>
          <w:rtl/>
        </w:rPr>
        <w:t>ומעגל חיצוני</w:t>
      </w:r>
      <w:r w:rsidR="004B17E5">
        <w:rPr>
          <w:rtl/>
        </w:rPr>
        <w:t xml:space="preserve">, אשר בא לידי ביטוי בדרישה כי המתת הקורבן נעשתה במטרה להטיל מרות או מורא </w:t>
      </w:r>
      <w:r w:rsidR="009E27FC">
        <w:rPr>
          <w:rtl/>
        </w:rPr>
        <w:t>ולכפות אורחות התנהגות על ציבור.</w:t>
      </w:r>
    </w:p>
    <w:p w:rsidR="009E27FC" w:rsidRDefault="009E27FC" w:rsidP="009E27FC">
      <w:pPr>
        <w:pStyle w:val="Ruller4"/>
        <w:numPr>
          <w:ilvl w:val="0"/>
          <w:numId w:val="0"/>
        </w:numPr>
        <w:rPr>
          <w:rtl/>
        </w:rPr>
      </w:pPr>
    </w:p>
    <w:p w:rsidR="009643A5" w:rsidRDefault="009E27FC" w:rsidP="009643A5">
      <w:pPr>
        <w:pStyle w:val="Ruller4"/>
        <w:numPr>
          <w:ilvl w:val="0"/>
          <w:numId w:val="0"/>
        </w:numPr>
        <w:rPr>
          <w:rtl/>
        </w:rPr>
      </w:pPr>
      <w:r>
        <w:rPr>
          <w:rtl/>
        </w:rPr>
        <w:tab/>
      </w:r>
      <w:r w:rsidR="009B0D7D">
        <w:rPr>
          <w:rFonts w:hint="cs"/>
          <w:rtl/>
        </w:rPr>
        <w:t>לצרכי</w:t>
      </w:r>
      <w:r w:rsidR="004B17E5">
        <w:rPr>
          <w:rtl/>
        </w:rPr>
        <w:t xml:space="preserve"> המעגל החיצוני, המוקד אינו במישור היחסים שבין הרוצח לקורבן, אלא בין הרוצח למעגל הסביבתי הרחב יותר. נדרש כי מבחינת המבצע</w:t>
      </w:r>
      <w:r w:rsidR="00D52660">
        <w:rPr>
          <w:rFonts w:hint="cs"/>
          <w:rtl/>
        </w:rPr>
        <w:t>,</w:t>
      </w:r>
      <w:r w:rsidR="004B17E5">
        <w:rPr>
          <w:rtl/>
        </w:rPr>
        <w:t xml:space="preserve"> </w:t>
      </w:r>
      <w:r w:rsidR="009B0D7D">
        <w:rPr>
          <w:rtl/>
        </w:rPr>
        <w:t>הרצח נעשה במטרה להשפיע על אחרים</w:t>
      </w:r>
      <w:r w:rsidR="009B0D7D">
        <w:rPr>
          <w:rFonts w:hint="cs"/>
          <w:rtl/>
        </w:rPr>
        <w:t xml:space="preserve"> </w:t>
      </w:r>
      <w:r w:rsidR="009B0D7D">
        <w:rPr>
          <w:rtl/>
        </w:rPr>
        <w:t>–</w:t>
      </w:r>
      <w:r w:rsidR="009B0D7D">
        <w:rPr>
          <w:rFonts w:hint="cs"/>
          <w:rtl/>
        </w:rPr>
        <w:t xml:space="preserve"> </w:t>
      </w:r>
      <w:r w:rsidR="009B0D7D">
        <w:rPr>
          <w:rtl/>
        </w:rPr>
        <w:t>ה"ציבור"</w:t>
      </w:r>
      <w:r w:rsidR="009B0D7D">
        <w:rPr>
          <w:rFonts w:hint="cs"/>
          <w:rtl/>
        </w:rPr>
        <w:t xml:space="preserve">, </w:t>
      </w:r>
      <w:r w:rsidR="00B27B11">
        <w:rPr>
          <w:rFonts w:hint="cs"/>
          <w:rtl/>
        </w:rPr>
        <w:t>וזאת</w:t>
      </w:r>
      <w:r w:rsidR="004B17E5">
        <w:rPr>
          <w:rtl/>
        </w:rPr>
        <w:t xml:space="preserve"> "למען יראו וייראו</w:t>
      </w:r>
      <w:r w:rsidR="004F666D">
        <w:rPr>
          <w:rFonts w:hint="cs"/>
          <w:rtl/>
        </w:rPr>
        <w:t>"</w:t>
      </w:r>
      <w:r w:rsidR="009B0D7D">
        <w:rPr>
          <w:rFonts w:hint="cs"/>
          <w:rtl/>
        </w:rPr>
        <w:t xml:space="preserve"> (עניין </w:t>
      </w:r>
      <w:r w:rsidR="009B0D7D" w:rsidRPr="009B0D7D">
        <w:rPr>
          <w:rFonts w:ascii="Century" w:hAnsi="Century" w:cs="Miriam" w:hint="cs"/>
          <w:b/>
          <w:spacing w:val="0"/>
          <w:sz w:val="22"/>
          <w:szCs w:val="24"/>
          <w:rtl/>
        </w:rPr>
        <w:t xml:space="preserve">אבו </w:t>
      </w:r>
      <w:proofErr w:type="spellStart"/>
      <w:r w:rsidR="009B0D7D" w:rsidRPr="009B0D7D">
        <w:rPr>
          <w:rFonts w:ascii="Century" w:hAnsi="Century" w:cs="Miriam" w:hint="cs"/>
          <w:b/>
          <w:spacing w:val="0"/>
          <w:sz w:val="22"/>
          <w:szCs w:val="24"/>
          <w:rtl/>
        </w:rPr>
        <w:t>סרארי</w:t>
      </w:r>
      <w:proofErr w:type="spellEnd"/>
      <w:r w:rsidR="009B0D7D">
        <w:rPr>
          <w:rFonts w:hint="cs"/>
          <w:rtl/>
        </w:rPr>
        <w:t xml:space="preserve">, בפסקה </w:t>
      </w:r>
      <w:r w:rsidR="001A4C3E">
        <w:rPr>
          <w:rFonts w:hint="cs"/>
          <w:rtl/>
        </w:rPr>
        <w:t>42</w:t>
      </w:r>
      <w:r w:rsidR="009643A5">
        <w:rPr>
          <w:rFonts w:hint="cs"/>
          <w:rtl/>
        </w:rPr>
        <w:t xml:space="preserve">). </w:t>
      </w:r>
    </w:p>
    <w:p w:rsidR="009643A5" w:rsidRDefault="009643A5" w:rsidP="009643A5">
      <w:pPr>
        <w:pStyle w:val="Ruller4"/>
        <w:numPr>
          <w:ilvl w:val="0"/>
          <w:numId w:val="0"/>
        </w:numPr>
        <w:rPr>
          <w:rtl/>
        </w:rPr>
      </w:pPr>
    </w:p>
    <w:p w:rsidR="009643A5" w:rsidRPr="009643A5" w:rsidRDefault="009643A5" w:rsidP="0058747C">
      <w:pPr>
        <w:pStyle w:val="Ruller4"/>
        <w:numPr>
          <w:ilvl w:val="0"/>
          <w:numId w:val="0"/>
        </w:numPr>
        <w:rPr>
          <w:rtl/>
        </w:rPr>
      </w:pPr>
      <w:r>
        <w:rPr>
          <w:rtl/>
        </w:rPr>
        <w:tab/>
      </w:r>
      <w:r>
        <w:rPr>
          <w:rFonts w:hint="cs"/>
          <w:rtl/>
        </w:rPr>
        <w:t>ה</w:t>
      </w:r>
      <w:r>
        <w:rPr>
          <w:rFonts w:ascii="FrankRuehl" w:hAnsi="FrankRuehl"/>
          <w:color w:val="000000"/>
          <w:sz w:val="28"/>
          <w:rtl/>
        </w:rPr>
        <w:t xml:space="preserve">מונח "ציבור" </w:t>
      </w:r>
      <w:r w:rsidRPr="009643A5">
        <w:rPr>
          <w:rtl/>
        </w:rPr>
        <w:t xml:space="preserve">מוגדר בסעיף 34כד לחוק: "'ציבור' – לרבות כל חלק ממנו העלול להיפגע מהתנהגות שעליה מדובר בהקשרו של מונח זה". </w:t>
      </w:r>
      <w:r>
        <w:rPr>
          <w:rFonts w:hint="cs"/>
          <w:rtl/>
        </w:rPr>
        <w:t>כמו כן, מקובלת עליי לצורך עניינו של סעיף זה</w:t>
      </w:r>
      <w:r w:rsidR="00381B92">
        <w:rPr>
          <w:rFonts w:hint="cs"/>
          <w:rtl/>
        </w:rPr>
        <w:t>,</w:t>
      </w:r>
      <w:r>
        <w:rPr>
          <w:rFonts w:hint="cs"/>
          <w:rtl/>
        </w:rPr>
        <w:t xml:space="preserve"> </w:t>
      </w:r>
      <w:r w:rsidRPr="009643A5">
        <w:rPr>
          <w:rtl/>
        </w:rPr>
        <w:t>העמדה שהוצגה בדיוני ועדת החוקה, חוק ומשפט, כי</w:t>
      </w:r>
      <w:r>
        <w:rPr>
          <w:rFonts w:hint="cs"/>
          <w:rtl/>
        </w:rPr>
        <w:t xml:space="preserve"> </w:t>
      </w:r>
      <w:r>
        <w:rPr>
          <w:rFonts w:ascii="FrankRuehl" w:hAnsi="FrankRuehl"/>
          <w:color w:val="000000"/>
          <w:sz w:val="28"/>
          <w:rtl/>
        </w:rPr>
        <w:t>די בכך שהרצח נעשה כדי להטיל מרות או מורא ולכפות אורחות התנהגות על אדם אחר, גם אם אחד בלבד, כדי לקיים את דרישת הסעיף (פרוטוקול ישיבה 544 של ועדת החוקה, חוק ומשפט, הכנסת ה-20, 17 (5.2.2018)</w:t>
      </w:r>
      <w:r>
        <w:rPr>
          <w:rFonts w:ascii="FrankRuehl" w:hAnsi="FrankRuehl" w:hint="cs"/>
          <w:color w:val="000000"/>
          <w:sz w:val="28"/>
          <w:rtl/>
        </w:rPr>
        <w:t xml:space="preserve">). </w:t>
      </w:r>
    </w:p>
    <w:p w:rsidR="009B0D7D" w:rsidRDefault="009B0D7D" w:rsidP="009B0D7D">
      <w:pPr>
        <w:pStyle w:val="Ruller40"/>
        <w:rPr>
          <w:rtl/>
        </w:rPr>
      </w:pPr>
    </w:p>
    <w:p w:rsidR="009E27FC" w:rsidRDefault="009B0D7D" w:rsidP="00DC6ACB">
      <w:pPr>
        <w:pStyle w:val="Ruller4"/>
      </w:pPr>
      <w:r>
        <w:rPr>
          <w:rFonts w:hint="cs"/>
          <w:rtl/>
        </w:rPr>
        <w:t xml:space="preserve">על </w:t>
      </w:r>
      <w:r w:rsidR="009F2FB7">
        <w:rPr>
          <w:rFonts w:hint="cs"/>
          <w:rtl/>
        </w:rPr>
        <w:t>רקע זה</w:t>
      </w:r>
      <w:r w:rsidR="00513AE8">
        <w:rPr>
          <w:rFonts w:hint="cs"/>
          <w:rtl/>
        </w:rPr>
        <w:t>,</w:t>
      </w:r>
      <w:r w:rsidR="009F2FB7">
        <w:rPr>
          <w:rFonts w:hint="cs"/>
          <w:rtl/>
        </w:rPr>
        <w:t xml:space="preserve"> ומטעמים ראייתיים, </w:t>
      </w:r>
      <w:r>
        <w:rPr>
          <w:rFonts w:hint="cs"/>
          <w:rtl/>
        </w:rPr>
        <w:t xml:space="preserve">איני סבור כי ניתן להחיל נסיבה זו בענייננו. אכן הוכח ה"מעגל הפנימי", שכן מעשיו של המערער היו בגדר ענישה פרטית </w:t>
      </w:r>
      <w:r w:rsidR="009F2FB7">
        <w:rPr>
          <w:rFonts w:hint="cs"/>
          <w:rtl/>
        </w:rPr>
        <w:t>נוכח חוסר שביעות רצונו מהתנהלות המנוחה</w:t>
      </w:r>
      <w:r>
        <w:rPr>
          <w:rFonts w:hint="cs"/>
          <w:rtl/>
        </w:rPr>
        <w:t>. אולם, לא הוכח כדבעי ה"מעגל החיצוני"</w:t>
      </w:r>
      <w:r w:rsidR="009F2FB7">
        <w:rPr>
          <w:rFonts w:hint="cs"/>
          <w:rtl/>
        </w:rPr>
        <w:t xml:space="preserve">. בית המשפט המחוזי קבע "[...] הוכח כי הנאשם [המערער </w:t>
      </w:r>
      <w:r w:rsidR="009F2FB7">
        <w:rPr>
          <w:rtl/>
        </w:rPr>
        <w:t>–</w:t>
      </w:r>
      <w:r w:rsidR="009F2FB7">
        <w:rPr>
          <w:rFonts w:hint="cs"/>
          <w:rtl/>
        </w:rPr>
        <w:t xml:space="preserve"> </w:t>
      </w:r>
      <w:r w:rsidR="009F2FB7" w:rsidRPr="0099278C">
        <w:rPr>
          <w:rFonts w:ascii="Century" w:hAnsi="Century" w:cs="Miriam" w:hint="cs"/>
          <w:b/>
          <w:spacing w:val="0"/>
          <w:sz w:val="22"/>
          <w:szCs w:val="24"/>
          <w:rtl/>
        </w:rPr>
        <w:t>י' א'</w:t>
      </w:r>
      <w:r w:rsidR="009F2FB7">
        <w:rPr>
          <w:rFonts w:hint="cs"/>
          <w:rtl/>
        </w:rPr>
        <w:t>] רצה שהקטינה תתנהג לפי הדת, בצורה מסורתית, תחזור בתשובה וכי הייתה לו ביקורת לגבי אופן לבושה של הקטינה" ועל בסיס זאת יש לראות "במנוחה ובקטינה מושא להטלת מרות וענישה מצד הנאשם והרצח של המנוחה נועד</w:t>
      </w:r>
      <w:r w:rsidR="009E27FC">
        <w:rPr>
          <w:rFonts w:hint="cs"/>
          <w:rtl/>
        </w:rPr>
        <w:t xml:space="preserve"> גם להטיל מרות על אחרים [...]".</w:t>
      </w:r>
    </w:p>
    <w:p w:rsidR="009E27FC" w:rsidRDefault="009E27FC" w:rsidP="009E27FC">
      <w:pPr>
        <w:pStyle w:val="Ruller4"/>
        <w:numPr>
          <w:ilvl w:val="0"/>
          <w:numId w:val="0"/>
        </w:numPr>
        <w:rPr>
          <w:rtl/>
        </w:rPr>
      </w:pPr>
    </w:p>
    <w:p w:rsidR="009B0D7D" w:rsidRPr="009B0D7D" w:rsidRDefault="009E27FC" w:rsidP="00381B92">
      <w:pPr>
        <w:pStyle w:val="Ruller4"/>
        <w:numPr>
          <w:ilvl w:val="0"/>
          <w:numId w:val="0"/>
        </w:numPr>
        <w:rPr>
          <w:rtl/>
        </w:rPr>
      </w:pPr>
      <w:r>
        <w:rPr>
          <w:rtl/>
        </w:rPr>
        <w:tab/>
      </w:r>
      <w:r w:rsidR="009F2FB7" w:rsidRPr="009643A5">
        <w:rPr>
          <w:rFonts w:hint="cs"/>
          <w:rtl/>
        </w:rPr>
        <w:t xml:space="preserve">אולם, אין בכך כדי להעמיד </w:t>
      </w:r>
      <w:r w:rsidR="00513AE8" w:rsidRPr="009643A5">
        <w:rPr>
          <w:rFonts w:hint="cs"/>
          <w:rtl/>
        </w:rPr>
        <w:t>תשתית ראייתית מספקת</w:t>
      </w:r>
      <w:r w:rsidR="001F6250" w:rsidRPr="009643A5">
        <w:rPr>
          <w:rFonts w:hint="cs"/>
          <w:rtl/>
        </w:rPr>
        <w:t xml:space="preserve"> לביסוס נסיבה </w:t>
      </w:r>
      <w:r w:rsidR="003E5F79" w:rsidRPr="009643A5">
        <w:rPr>
          <w:rFonts w:hint="cs"/>
          <w:rtl/>
        </w:rPr>
        <w:t>מחמירה</w:t>
      </w:r>
      <w:r w:rsidR="001F6250" w:rsidRPr="009643A5">
        <w:rPr>
          <w:rFonts w:hint="cs"/>
          <w:rtl/>
        </w:rPr>
        <w:t xml:space="preserve"> זו</w:t>
      </w:r>
      <w:r w:rsidR="003E5F79" w:rsidRPr="009643A5">
        <w:rPr>
          <w:rFonts w:hint="cs"/>
          <w:rtl/>
        </w:rPr>
        <w:t>. לשם כך,</w:t>
      </w:r>
      <w:r w:rsidR="009F2FB7" w:rsidRPr="009643A5">
        <w:rPr>
          <w:rFonts w:hint="cs"/>
          <w:rtl/>
        </w:rPr>
        <w:t xml:space="preserve"> נדרש חיבור ישיר בין מעשה ההמתה להטלת מרות או מורא וכפיית אורחות התנהגות על הציבור</w:t>
      </w:r>
      <w:r w:rsidR="009643A5" w:rsidRPr="009643A5">
        <w:rPr>
          <w:rFonts w:hint="cs"/>
          <w:rtl/>
        </w:rPr>
        <w:t xml:space="preserve"> </w:t>
      </w:r>
      <w:r w:rsidR="009643A5" w:rsidRPr="009643A5">
        <w:rPr>
          <w:rtl/>
        </w:rPr>
        <w:t>–</w:t>
      </w:r>
      <w:r w:rsidR="009643A5" w:rsidRPr="009643A5">
        <w:rPr>
          <w:rFonts w:hint="cs"/>
          <w:rtl/>
        </w:rPr>
        <w:t xml:space="preserve"> </w:t>
      </w:r>
      <w:r w:rsidR="00381B92">
        <w:rPr>
          <w:rFonts w:hint="cs"/>
          <w:rtl/>
        </w:rPr>
        <w:t>ובענייננו</w:t>
      </w:r>
      <w:r w:rsidR="009643A5" w:rsidRPr="009643A5">
        <w:rPr>
          <w:rFonts w:hint="cs"/>
          <w:rtl/>
        </w:rPr>
        <w:t>, הקטינה</w:t>
      </w:r>
      <w:r w:rsidR="009F2FB7" w:rsidRPr="009643A5">
        <w:rPr>
          <w:rFonts w:hint="cs"/>
          <w:rtl/>
        </w:rPr>
        <w:t xml:space="preserve">. לשון אחר, נדרש להוכיח כי המערער המית את המנוחה במטרה להשפיע על התנהגות הקטינה. אין לפנינו ראיות </w:t>
      </w:r>
      <w:r w:rsidR="009441C0" w:rsidRPr="009643A5">
        <w:rPr>
          <w:rFonts w:hint="cs"/>
          <w:rtl/>
        </w:rPr>
        <w:t>המלמדות על חיבור ישיר זה.</w:t>
      </w:r>
      <w:r w:rsidR="009441C0">
        <w:rPr>
          <w:rFonts w:hint="cs"/>
          <w:rtl/>
        </w:rPr>
        <w:t xml:space="preserve"> </w:t>
      </w:r>
    </w:p>
    <w:p w:rsidR="001D424F" w:rsidRDefault="001D424F" w:rsidP="009E27FC">
      <w:pPr>
        <w:pStyle w:val="Ruller4"/>
        <w:numPr>
          <w:ilvl w:val="0"/>
          <w:numId w:val="0"/>
        </w:numPr>
        <w:rPr>
          <w:rFonts w:ascii="Arial TUR" w:hAnsi="Arial TUR"/>
          <w:sz w:val="22"/>
          <w:rtl/>
        </w:rPr>
      </w:pPr>
    </w:p>
    <w:p w:rsidR="004B17E5" w:rsidRDefault="004B17E5" w:rsidP="009E27FC">
      <w:pPr>
        <w:pStyle w:val="Ruller4"/>
        <w:numPr>
          <w:ilvl w:val="0"/>
          <w:numId w:val="0"/>
        </w:numPr>
        <w:rPr>
          <w:rFonts w:ascii="Century" w:hAnsi="Century" w:cs="Miriam"/>
          <w:b/>
          <w:spacing w:val="0"/>
          <w:sz w:val="22"/>
          <w:szCs w:val="24"/>
          <w:rtl/>
        </w:rPr>
      </w:pPr>
      <w:r w:rsidRPr="009B0D7D">
        <w:rPr>
          <w:rFonts w:ascii="Century" w:hAnsi="Century" w:cs="Miriam" w:hint="cs"/>
          <w:b/>
          <w:spacing w:val="0"/>
          <w:sz w:val="22"/>
          <w:szCs w:val="24"/>
          <w:rtl/>
        </w:rPr>
        <w:t xml:space="preserve">נסיבה מחמירה 7 </w:t>
      </w:r>
      <w:r w:rsidRPr="009B0D7D">
        <w:rPr>
          <w:rFonts w:ascii="Century" w:hAnsi="Century" w:cs="Miriam"/>
          <w:b/>
          <w:spacing w:val="0"/>
          <w:sz w:val="22"/>
          <w:szCs w:val="24"/>
          <w:rtl/>
        </w:rPr>
        <w:t>–</w:t>
      </w:r>
      <w:r w:rsidRPr="009B0D7D">
        <w:rPr>
          <w:rFonts w:ascii="Century" w:hAnsi="Century" w:cs="Miriam" w:hint="cs"/>
          <w:b/>
          <w:spacing w:val="0"/>
          <w:sz w:val="22"/>
          <w:szCs w:val="24"/>
          <w:rtl/>
        </w:rPr>
        <w:t xml:space="preserve"> </w:t>
      </w:r>
      <w:r w:rsidR="009B0D7D" w:rsidRPr="009B0D7D">
        <w:rPr>
          <w:rFonts w:ascii="Century" w:hAnsi="Century" w:cs="Miriam" w:hint="cs"/>
          <w:b/>
          <w:spacing w:val="0"/>
          <w:sz w:val="22"/>
          <w:szCs w:val="24"/>
          <w:rtl/>
        </w:rPr>
        <w:t>"</w:t>
      </w:r>
      <w:r w:rsidR="009B0D7D" w:rsidRPr="009B0D7D">
        <w:rPr>
          <w:rFonts w:ascii="Century" w:hAnsi="Century" w:cs="Miriam"/>
          <w:b/>
          <w:spacing w:val="0"/>
          <w:sz w:val="22"/>
          <w:szCs w:val="24"/>
          <w:rtl/>
        </w:rPr>
        <w:t>המעשה נעשה באכזריות מיוחדת, או תוך התעללות גופנית או נפשית בקורבן</w:t>
      </w:r>
      <w:r w:rsidR="009B0D7D" w:rsidRPr="009B0D7D">
        <w:rPr>
          <w:rFonts w:ascii="Century" w:hAnsi="Century" w:cs="Miriam" w:hint="cs"/>
          <w:b/>
          <w:spacing w:val="0"/>
          <w:sz w:val="22"/>
          <w:szCs w:val="24"/>
          <w:rtl/>
        </w:rPr>
        <w:t>"</w:t>
      </w:r>
    </w:p>
    <w:p w:rsidR="001D424F" w:rsidRPr="001D424F" w:rsidRDefault="001D424F" w:rsidP="001D424F">
      <w:pPr>
        <w:pStyle w:val="Ruller40"/>
        <w:rPr>
          <w:rtl/>
        </w:rPr>
      </w:pPr>
    </w:p>
    <w:p w:rsidR="00933460" w:rsidRDefault="00180010" w:rsidP="003E66B0">
      <w:pPr>
        <w:pStyle w:val="Ruller4"/>
        <w:rPr>
          <w:rtl/>
        </w:rPr>
      </w:pPr>
      <w:r>
        <w:rPr>
          <w:rFonts w:hint="cs"/>
          <w:rtl/>
        </w:rPr>
        <w:t xml:space="preserve">ביחס להיקפה של נסיבה זו, </w:t>
      </w:r>
      <w:r w:rsidR="00237AA7">
        <w:rPr>
          <w:rFonts w:hint="cs"/>
          <w:rtl/>
        </w:rPr>
        <w:t>עמדתי בעבר על כך</w:t>
      </w:r>
      <w:r w:rsidRPr="00180010">
        <w:rPr>
          <w:rFonts w:hint="cs"/>
          <w:rtl/>
        </w:rPr>
        <w:t xml:space="preserve"> </w:t>
      </w:r>
      <w:r w:rsidR="00237AA7">
        <w:rPr>
          <w:rFonts w:hint="cs"/>
          <w:rtl/>
        </w:rPr>
        <w:t>ש</w:t>
      </w:r>
      <w:r w:rsidRPr="00180010">
        <w:rPr>
          <w:rtl/>
        </w:rPr>
        <w:t xml:space="preserve">"נכון למועד כתיבת שורות אלה, במקרים בהם הרשיע בית משפט זה ברצח בנסיבות של אכזריות מיוחדת או של </w:t>
      </w:r>
      <w:r w:rsidRPr="00180010">
        <w:rPr>
          <w:rtl/>
        </w:rPr>
        <w:lastRenderedPageBreak/>
        <w:t>התעללות, הודגש בעיקר הסבל הפיזי שנגרם לקורבן, ובכלל כך אופן המתה ממושך, באמצעות כלי רצח שונים, ועל פני זירות שונות. באותם המקרים ניתן משקל גם לעובדת היותה של הקורבן אשתו של הרוצח ואם ילדיו</w:t>
      </w:r>
      <w:r w:rsidRPr="00180010">
        <w:rPr>
          <w:rFonts w:hint="cs"/>
          <w:rtl/>
        </w:rPr>
        <w:t xml:space="preserve"> [...]" </w:t>
      </w:r>
      <w:r>
        <w:rPr>
          <w:rFonts w:hint="cs"/>
          <w:rtl/>
        </w:rPr>
        <w:t>(</w:t>
      </w:r>
      <w:r w:rsidRPr="00180010">
        <w:rPr>
          <w:rtl/>
        </w:rPr>
        <w:t>ע"פ 3168/19 </w:t>
      </w:r>
      <w:proofErr w:type="spellStart"/>
      <w:r w:rsidRPr="00180010">
        <w:rPr>
          <w:rFonts w:ascii="Century" w:hAnsi="Century" w:cs="Miriam"/>
          <w:b/>
          <w:spacing w:val="0"/>
          <w:sz w:val="22"/>
          <w:szCs w:val="24"/>
          <w:rtl/>
        </w:rPr>
        <w:t>איילין</w:t>
      </w:r>
      <w:proofErr w:type="spellEnd"/>
      <w:r w:rsidRPr="00180010">
        <w:rPr>
          <w:rFonts w:ascii="Century" w:hAnsi="Century" w:cs="Miriam"/>
          <w:b/>
          <w:spacing w:val="0"/>
          <w:sz w:val="22"/>
          <w:szCs w:val="24"/>
          <w:rtl/>
        </w:rPr>
        <w:t xml:space="preserve"> נ' מדינת ישראל</w:t>
      </w:r>
      <w:r>
        <w:rPr>
          <w:rFonts w:hint="cs"/>
          <w:rtl/>
        </w:rPr>
        <w:t xml:space="preserve">, פסקה </w:t>
      </w:r>
      <w:r w:rsidR="003E66B0">
        <w:rPr>
          <w:rFonts w:hint="cs"/>
          <w:rtl/>
        </w:rPr>
        <w:t>4</w:t>
      </w:r>
      <w:r>
        <w:rPr>
          <w:rFonts w:hint="cs"/>
          <w:rtl/>
        </w:rPr>
        <w:t xml:space="preserve"> לחוות דעתי </w:t>
      </w:r>
      <w:r w:rsidRPr="00180010">
        <w:rPr>
          <w:rtl/>
        </w:rPr>
        <w:t>(</w:t>
      </w:r>
      <w:r>
        <w:rPr>
          <w:rFonts w:hint="cs"/>
          <w:rtl/>
        </w:rPr>
        <w:t>26.1.2022</w:t>
      </w:r>
      <w:r w:rsidRPr="00180010">
        <w:rPr>
          <w:rtl/>
        </w:rPr>
        <w:t>)‏</w:t>
      </w:r>
      <w:r>
        <w:rPr>
          <w:rFonts w:hint="cs"/>
          <w:rtl/>
        </w:rPr>
        <w:t>)</w:t>
      </w:r>
      <w:r w:rsidRPr="00180010">
        <w:rPr>
          <w:rFonts w:hint="cs"/>
          <w:rtl/>
        </w:rPr>
        <w:t xml:space="preserve">. </w:t>
      </w:r>
      <w:r w:rsidR="00237AA7">
        <w:rPr>
          <w:rFonts w:hint="cs"/>
          <w:rtl/>
        </w:rPr>
        <w:t xml:space="preserve">הוספתי והבהרתי כי על בסיס </w:t>
      </w:r>
      <w:r w:rsidR="009B0D7D">
        <w:rPr>
          <w:rFonts w:hint="cs"/>
          <w:rtl/>
        </w:rPr>
        <w:t>כוונת המחוקק והספרות המשפטית,</w:t>
      </w:r>
      <w:r w:rsidR="004B17E5">
        <w:rPr>
          <w:rFonts w:hint="cs"/>
          <w:rtl/>
        </w:rPr>
        <w:t xml:space="preserve"> </w:t>
      </w:r>
      <w:r w:rsidR="00237AA7">
        <w:rPr>
          <w:rFonts w:hint="cs"/>
          <w:rtl/>
        </w:rPr>
        <w:t xml:space="preserve">בבחינת נסיבה זו יש </w:t>
      </w:r>
      <w:r w:rsidR="009B0D7D">
        <w:rPr>
          <w:rFonts w:hint="cs"/>
          <w:rtl/>
        </w:rPr>
        <w:t>להתמקד בסבל מיוחד שנגרם לקורבן</w:t>
      </w:r>
      <w:r w:rsidR="003E66B0">
        <w:rPr>
          <w:rFonts w:hint="cs"/>
          <w:rtl/>
        </w:rPr>
        <w:t xml:space="preserve">, </w:t>
      </w:r>
      <w:r w:rsidR="003E66B0">
        <w:rPr>
          <w:rFonts w:ascii="FrankRuehl" w:hAnsi="FrankRuehl"/>
          <w:color w:val="000000"/>
          <w:sz w:val="28"/>
          <w:rtl/>
        </w:rPr>
        <w:t>בניגוד, למשל, להתמקדות ביסוד הנפשי של העושה</w:t>
      </w:r>
      <w:r w:rsidR="009B0D7D">
        <w:rPr>
          <w:rFonts w:hint="cs"/>
          <w:rtl/>
        </w:rPr>
        <w:t xml:space="preserve"> (שם, בפסקה </w:t>
      </w:r>
      <w:r w:rsidR="003E66B0">
        <w:rPr>
          <w:rFonts w:hint="cs"/>
          <w:rtl/>
        </w:rPr>
        <w:t>6</w:t>
      </w:r>
      <w:r w:rsidR="009B0D7D">
        <w:rPr>
          <w:rFonts w:hint="cs"/>
          <w:rtl/>
        </w:rPr>
        <w:t xml:space="preserve">). </w:t>
      </w:r>
    </w:p>
    <w:p w:rsidR="00180010" w:rsidRDefault="00180010" w:rsidP="00180010">
      <w:pPr>
        <w:pStyle w:val="Ruller40"/>
        <w:rPr>
          <w:rtl/>
        </w:rPr>
      </w:pPr>
    </w:p>
    <w:p w:rsidR="00B04528" w:rsidRDefault="00180010" w:rsidP="00DE637E">
      <w:pPr>
        <w:pStyle w:val="Ruller4"/>
      </w:pPr>
      <w:r>
        <w:rPr>
          <w:rFonts w:hint="cs"/>
          <w:rtl/>
        </w:rPr>
        <w:t xml:space="preserve">בענייננו, </w:t>
      </w:r>
      <w:r w:rsidR="007957E1">
        <w:rPr>
          <w:rFonts w:hint="cs"/>
          <w:rtl/>
        </w:rPr>
        <w:t xml:space="preserve">בהעדר פרטים נוספים, </w:t>
      </w:r>
      <w:r>
        <w:rPr>
          <w:rFonts w:hint="cs"/>
          <w:rtl/>
        </w:rPr>
        <w:t xml:space="preserve">לא ניתן </w:t>
      </w:r>
      <w:r w:rsidR="009B0D7D">
        <w:rPr>
          <w:rFonts w:hint="cs"/>
          <w:rtl/>
        </w:rPr>
        <w:t xml:space="preserve">היה </w:t>
      </w:r>
      <w:r>
        <w:rPr>
          <w:rFonts w:hint="cs"/>
          <w:rtl/>
        </w:rPr>
        <w:t xml:space="preserve">לקבוע באופן מוחלט באיזה שלב </w:t>
      </w:r>
      <w:r w:rsidR="00237AA7">
        <w:rPr>
          <w:rFonts w:hint="cs"/>
          <w:rtl/>
        </w:rPr>
        <w:t xml:space="preserve">של פעולות החניקה </w:t>
      </w:r>
      <w:r>
        <w:rPr>
          <w:rFonts w:hint="cs"/>
          <w:rtl/>
        </w:rPr>
        <w:t>מתה המנוחה</w:t>
      </w:r>
      <w:r w:rsidR="00237AA7">
        <w:rPr>
          <w:rFonts w:hint="cs"/>
          <w:rtl/>
        </w:rPr>
        <w:t>.</w:t>
      </w:r>
      <w:r>
        <w:rPr>
          <w:rFonts w:hint="cs"/>
          <w:rtl/>
        </w:rPr>
        <w:t xml:space="preserve"> משמעות הדבר שקשה לבסס קביעה</w:t>
      </w:r>
      <w:r w:rsidR="00933460">
        <w:rPr>
          <w:rFonts w:hint="cs"/>
          <w:rtl/>
        </w:rPr>
        <w:t xml:space="preserve"> בדבר </w:t>
      </w:r>
      <w:r w:rsidR="00933460" w:rsidRPr="00DC6ACB">
        <w:rPr>
          <w:rFonts w:ascii="Century" w:hAnsi="Century" w:cs="Miriam" w:hint="cs"/>
          <w:b/>
          <w:spacing w:val="0"/>
          <w:sz w:val="22"/>
          <w:szCs w:val="24"/>
          <w:rtl/>
        </w:rPr>
        <w:t>אכזריות מיוחדת</w:t>
      </w:r>
      <w:r w:rsidR="00933460">
        <w:rPr>
          <w:rFonts w:hint="cs"/>
          <w:rtl/>
        </w:rPr>
        <w:t xml:space="preserve"> בשל אופן המתת המנוחה</w:t>
      </w:r>
      <w:r w:rsidR="004B17E5">
        <w:rPr>
          <w:rFonts w:hint="cs"/>
          <w:rtl/>
        </w:rPr>
        <w:t>, שכן איננו יודעים</w:t>
      </w:r>
      <w:r w:rsidR="001567E5">
        <w:rPr>
          <w:rFonts w:hint="cs"/>
          <w:rtl/>
        </w:rPr>
        <w:t xml:space="preserve"> כיצד נראו רגעיה האחרונים</w:t>
      </w:r>
      <w:r w:rsidR="00DC6ACB">
        <w:rPr>
          <w:rFonts w:hint="cs"/>
          <w:rtl/>
        </w:rPr>
        <w:t xml:space="preserve"> בהקשר התקיימות נסיבה זו</w:t>
      </w:r>
      <w:r w:rsidR="00933460">
        <w:rPr>
          <w:rFonts w:hint="cs"/>
          <w:rtl/>
        </w:rPr>
        <w:t xml:space="preserve">. </w:t>
      </w:r>
      <w:r w:rsidR="004B17E5">
        <w:rPr>
          <w:rFonts w:hint="cs"/>
          <w:rtl/>
        </w:rPr>
        <w:t xml:space="preserve">מטבע הדברים, רצח באמצעות חניקה הוא אכזרי, אך ספק אם יש בו, כשלעצמו, כדי לגלם את אותה </w:t>
      </w:r>
      <w:r w:rsidR="00DC6ACB">
        <w:rPr>
          <w:rFonts w:hint="cs"/>
          <w:rtl/>
        </w:rPr>
        <w:t>"</w:t>
      </w:r>
      <w:r w:rsidR="004B17E5">
        <w:rPr>
          <w:rFonts w:hint="cs"/>
          <w:rtl/>
        </w:rPr>
        <w:t>אכזריות מיוחדת</w:t>
      </w:r>
      <w:r w:rsidR="00DC6ACB">
        <w:rPr>
          <w:rFonts w:hint="cs"/>
          <w:rtl/>
        </w:rPr>
        <w:t>"</w:t>
      </w:r>
      <w:r w:rsidR="004B17E5">
        <w:rPr>
          <w:rFonts w:hint="cs"/>
          <w:rtl/>
        </w:rPr>
        <w:t xml:space="preserve"> לה כיוון המחוקק. </w:t>
      </w:r>
    </w:p>
    <w:p w:rsidR="00B04528" w:rsidRDefault="00B04528" w:rsidP="00855500">
      <w:pPr>
        <w:pStyle w:val="Ruller4"/>
        <w:numPr>
          <w:ilvl w:val="0"/>
          <w:numId w:val="0"/>
        </w:numPr>
        <w:rPr>
          <w:rtl/>
        </w:rPr>
      </w:pPr>
    </w:p>
    <w:p w:rsidR="00CA3B78" w:rsidRPr="00284982" w:rsidRDefault="00B04528" w:rsidP="00A01C07">
      <w:pPr>
        <w:pStyle w:val="Ruller40"/>
        <w:rPr>
          <w:rFonts w:ascii="FrankRuehl" w:hAnsi="FrankRuehl"/>
          <w:sz w:val="28"/>
          <w:rtl/>
        </w:rPr>
      </w:pPr>
      <w:r>
        <w:rPr>
          <w:rtl/>
        </w:rPr>
        <w:tab/>
      </w:r>
      <w:r w:rsidR="00237AA7">
        <w:rPr>
          <w:rFonts w:hint="cs"/>
          <w:rtl/>
        </w:rPr>
        <w:t xml:space="preserve">ביחס לנוכחות התינוק בזירה </w:t>
      </w:r>
      <w:r w:rsidR="00237AA7">
        <w:rPr>
          <w:rtl/>
        </w:rPr>
        <w:t>–</w:t>
      </w:r>
      <w:r>
        <w:rPr>
          <w:rFonts w:hint="cs"/>
          <w:rtl/>
        </w:rPr>
        <w:t xml:space="preserve"> מאחר שבמוקד הנסיבה הסבל שנגרם לקורבן, ולא לתינוק, דומה ש</w:t>
      </w:r>
      <w:r w:rsidR="00266497">
        <w:rPr>
          <w:rFonts w:hint="cs"/>
          <w:rtl/>
        </w:rPr>
        <w:t xml:space="preserve">אין </w:t>
      </w:r>
      <w:r w:rsidR="005C1A55">
        <w:rPr>
          <w:rFonts w:hint="cs"/>
          <w:rtl/>
        </w:rPr>
        <w:t xml:space="preserve">די </w:t>
      </w:r>
      <w:r w:rsidR="0055790E">
        <w:rPr>
          <w:rFonts w:hint="cs"/>
          <w:rtl/>
        </w:rPr>
        <w:t>ב</w:t>
      </w:r>
      <w:r w:rsidR="005C1A55">
        <w:rPr>
          <w:rFonts w:hint="cs"/>
          <w:rtl/>
        </w:rPr>
        <w:t>נוכחות התינוק בזירה כדי לבסס אכזריות מיוחדת</w:t>
      </w:r>
      <w:r w:rsidR="009E27FC">
        <w:rPr>
          <w:rFonts w:hint="cs"/>
          <w:rtl/>
        </w:rPr>
        <w:t xml:space="preserve"> כמשמעותה בנסיבה מחמירה זו</w:t>
      </w:r>
      <w:r w:rsidR="00A01C07">
        <w:rPr>
          <w:rFonts w:hint="cs"/>
          <w:rtl/>
        </w:rPr>
        <w:t xml:space="preserve">. נותר </w:t>
      </w:r>
      <w:r w:rsidR="00410BF8">
        <w:rPr>
          <w:rFonts w:hint="cs"/>
          <w:rtl/>
        </w:rPr>
        <w:t>ספק</w:t>
      </w:r>
      <w:r w:rsidR="00A01C07">
        <w:rPr>
          <w:rFonts w:hint="cs"/>
          <w:rtl/>
        </w:rPr>
        <w:t xml:space="preserve"> אם </w:t>
      </w:r>
      <w:r w:rsidR="00460ABF">
        <w:rPr>
          <w:rFonts w:hint="cs"/>
          <w:rtl/>
        </w:rPr>
        <w:t xml:space="preserve">המנוחה </w:t>
      </w:r>
      <w:r w:rsidR="00F53252">
        <w:rPr>
          <w:rFonts w:hint="cs"/>
          <w:rtl/>
        </w:rPr>
        <w:t xml:space="preserve">אכן </w:t>
      </w:r>
      <w:r w:rsidR="00460ABF">
        <w:rPr>
          <w:rFonts w:hint="cs"/>
          <w:rtl/>
        </w:rPr>
        <w:t xml:space="preserve">ראתה את התינוק </w:t>
      </w:r>
      <w:r w:rsidR="00410BF8">
        <w:rPr>
          <w:rFonts w:hint="cs"/>
          <w:rtl/>
        </w:rPr>
        <w:t>בשלב זה</w:t>
      </w:r>
      <w:r w:rsidR="00460ABF">
        <w:rPr>
          <w:rFonts w:hint="cs"/>
          <w:rtl/>
        </w:rPr>
        <w:t xml:space="preserve"> </w:t>
      </w:r>
      <w:r w:rsidR="00A01C07">
        <w:rPr>
          <w:rFonts w:hint="cs"/>
          <w:rtl/>
        </w:rPr>
        <w:t>ו</w:t>
      </w:r>
      <w:r w:rsidR="003B6487" w:rsidRPr="003B6487">
        <w:rPr>
          <w:rFonts w:hint="cs"/>
          <w:rtl/>
        </w:rPr>
        <w:t xml:space="preserve">התמונה הראייתית בהקשר זה אינה ברורה </w:t>
      </w:r>
      <w:r w:rsidR="00410BF8" w:rsidRPr="003B6487">
        <w:rPr>
          <w:rFonts w:hint="cs"/>
          <w:rtl/>
        </w:rPr>
        <w:t>די</w:t>
      </w:r>
      <w:r w:rsidR="00410BF8">
        <w:rPr>
          <w:rFonts w:hint="cs"/>
          <w:rtl/>
        </w:rPr>
        <w:t xml:space="preserve">ה </w:t>
      </w:r>
      <w:r w:rsidR="003B6487">
        <w:rPr>
          <w:rFonts w:hint="cs"/>
          <w:rtl/>
        </w:rPr>
        <w:t xml:space="preserve">(ראו והשוו: עניין </w:t>
      </w:r>
      <w:r w:rsidR="003B6487" w:rsidRPr="003B6487">
        <w:rPr>
          <w:rFonts w:ascii="Century" w:hAnsi="Century" w:cs="Miriam" w:hint="cs"/>
          <w:b/>
          <w:spacing w:val="0"/>
          <w:szCs w:val="24"/>
          <w:rtl/>
        </w:rPr>
        <w:t xml:space="preserve">אבו </w:t>
      </w:r>
      <w:proofErr w:type="spellStart"/>
      <w:r w:rsidR="003B6487" w:rsidRPr="003B6487">
        <w:rPr>
          <w:rFonts w:ascii="Century" w:hAnsi="Century" w:cs="Miriam" w:hint="cs"/>
          <w:b/>
          <w:spacing w:val="0"/>
          <w:szCs w:val="24"/>
          <w:rtl/>
        </w:rPr>
        <w:t>זיינב</w:t>
      </w:r>
      <w:proofErr w:type="spellEnd"/>
      <w:r w:rsidR="003B6487">
        <w:rPr>
          <w:rFonts w:hint="cs"/>
          <w:rtl/>
        </w:rPr>
        <w:t>, בפסקה 51</w:t>
      </w:r>
      <w:r w:rsidR="00A01C07">
        <w:rPr>
          <w:rFonts w:hint="cs"/>
          <w:rtl/>
        </w:rPr>
        <w:t>; באשר למקרה בו מדובר ברצח שנעשה לנגד עיני ילדי הקורבן, ראו:</w:t>
      </w:r>
      <w:r w:rsidR="00A01C07" w:rsidRPr="00284982">
        <w:rPr>
          <w:rFonts w:asciiTheme="majorBidi" w:hAnsiTheme="majorBidi" w:cstheme="majorBidi"/>
          <w:sz w:val="24"/>
          <w:szCs w:val="24"/>
        </w:rPr>
        <w:t xml:space="preserve">Yosef Elron, </w:t>
      </w:r>
      <w:r w:rsidR="00A01C07" w:rsidRPr="00284982">
        <w:rPr>
          <w:rFonts w:asciiTheme="majorBidi" w:hAnsiTheme="majorBidi" w:cstheme="majorBidi"/>
          <w:i/>
          <w:iCs/>
          <w:sz w:val="24"/>
          <w:szCs w:val="24"/>
        </w:rPr>
        <w:t>Foreword</w:t>
      </w:r>
      <w:r w:rsidR="00A01C07" w:rsidRPr="00284982">
        <w:rPr>
          <w:rFonts w:asciiTheme="majorBidi" w:hAnsiTheme="majorBidi" w:cstheme="majorBidi"/>
          <w:sz w:val="24"/>
          <w:szCs w:val="24"/>
        </w:rPr>
        <w:t xml:space="preserve"> to HAVA DAYAN &amp; YIFAT BITTON, FEMICIDE, CRIMINOLOGY AND THE LAW at x, xi (2023)</w:t>
      </w:r>
      <w:r w:rsidR="00A01C07">
        <w:rPr>
          <w:rFonts w:hint="cs"/>
          <w:rtl/>
        </w:rPr>
        <w:t xml:space="preserve">). </w:t>
      </w:r>
      <w:r w:rsidR="0099278C">
        <w:rPr>
          <w:rFonts w:hint="cs"/>
          <w:rtl/>
        </w:rPr>
        <w:t>לפנינו אפוא מורכבות במישור הראייתי</w:t>
      </w:r>
      <w:r w:rsidR="003137BD">
        <w:rPr>
          <w:rFonts w:hint="cs"/>
          <w:rtl/>
        </w:rPr>
        <w:t>-עובדתי</w:t>
      </w:r>
      <w:r w:rsidR="0099278C">
        <w:rPr>
          <w:rFonts w:hint="cs"/>
          <w:rtl/>
        </w:rPr>
        <w:t xml:space="preserve"> ובמישור המשפטי. </w:t>
      </w:r>
      <w:r w:rsidR="00C73C63">
        <w:rPr>
          <w:rFonts w:hint="cs"/>
          <w:rtl/>
        </w:rPr>
        <w:t xml:space="preserve">מובן, שככל שנותר ספק אין אלא לקבוע כי ספק זה פועל לטובת המערער. </w:t>
      </w:r>
      <w:r w:rsidR="005C1A55">
        <w:rPr>
          <w:rFonts w:hint="cs"/>
          <w:rtl/>
        </w:rPr>
        <w:t xml:space="preserve">בנסיבות ענייננו </w:t>
      </w:r>
      <w:r w:rsidR="0099278C">
        <w:rPr>
          <w:rFonts w:hint="cs"/>
          <w:rtl/>
        </w:rPr>
        <w:t xml:space="preserve">לא </w:t>
      </w:r>
      <w:r w:rsidR="00CE5560">
        <w:rPr>
          <w:rFonts w:hint="cs"/>
          <w:rtl/>
        </w:rPr>
        <w:t xml:space="preserve">נדרשת </w:t>
      </w:r>
      <w:r w:rsidR="005C1A55">
        <w:rPr>
          <w:rFonts w:hint="cs"/>
          <w:rtl/>
        </w:rPr>
        <w:t>הכרעה</w:t>
      </w:r>
      <w:r w:rsidR="00813A06">
        <w:rPr>
          <w:rFonts w:hint="cs"/>
          <w:rtl/>
        </w:rPr>
        <w:t xml:space="preserve"> בסוגיה זו,</w:t>
      </w:r>
      <w:r w:rsidR="005C1A55">
        <w:rPr>
          <w:rFonts w:hint="cs"/>
          <w:rtl/>
        </w:rPr>
        <w:t xml:space="preserve"> מאחר שממילא מתקיימת הנסיבה המחמירה הקבועה</w:t>
      </w:r>
      <w:r w:rsidR="004B17E5">
        <w:rPr>
          <w:rFonts w:hint="cs"/>
          <w:rtl/>
        </w:rPr>
        <w:t xml:space="preserve"> בסעיף 301א(א)(1) לחוק.</w:t>
      </w:r>
      <w:r w:rsidR="005C1A55">
        <w:rPr>
          <w:rFonts w:hint="cs"/>
          <w:rtl/>
        </w:rPr>
        <w:t xml:space="preserve"> </w:t>
      </w:r>
    </w:p>
    <w:p w:rsidR="004F666D" w:rsidRPr="004F666D" w:rsidRDefault="004F666D" w:rsidP="004F666D">
      <w:pPr>
        <w:pStyle w:val="Ruller40"/>
        <w:rPr>
          <w:rtl/>
        </w:rPr>
      </w:pPr>
    </w:p>
    <w:p w:rsidR="003E661C" w:rsidRPr="003E661C" w:rsidRDefault="00DE637E" w:rsidP="0099278C">
      <w:pPr>
        <w:pStyle w:val="Ruller4"/>
        <w:rPr>
          <w:rtl/>
        </w:rPr>
      </w:pPr>
      <w:r>
        <w:rPr>
          <w:rFonts w:hint="cs"/>
          <w:rtl/>
        </w:rPr>
        <w:t>אשר על כן,</w:t>
      </w:r>
      <w:r w:rsidR="004F666D">
        <w:rPr>
          <w:rFonts w:hint="cs"/>
          <w:rtl/>
        </w:rPr>
        <w:t xml:space="preserve"> ומאחר שחלה בבירור לפחות אחת מבין הנסיבות המחמירות הקבועות בסעיף 301א(א) לחוק, </w:t>
      </w:r>
      <w:r w:rsidR="003E661C">
        <w:rPr>
          <w:rFonts w:hint="cs"/>
          <w:rtl/>
        </w:rPr>
        <w:t xml:space="preserve">הרפורמה אינה מהווה דין מקל עם המערער, </w:t>
      </w:r>
      <w:r w:rsidR="0024431E">
        <w:rPr>
          <w:rFonts w:hint="cs"/>
          <w:rtl/>
        </w:rPr>
        <w:t xml:space="preserve">ואין ליישמה בעניינו. </w:t>
      </w:r>
      <w:r w:rsidR="004F666D">
        <w:rPr>
          <w:rFonts w:hint="cs"/>
          <w:rtl/>
        </w:rPr>
        <w:t xml:space="preserve">יש להותיר </w:t>
      </w:r>
      <w:r w:rsidR="0099278C">
        <w:rPr>
          <w:rFonts w:hint="cs"/>
          <w:rtl/>
        </w:rPr>
        <w:t xml:space="preserve">בעינה </w:t>
      </w:r>
      <w:r w:rsidR="004F666D">
        <w:rPr>
          <w:rFonts w:hint="cs"/>
          <w:rtl/>
        </w:rPr>
        <w:t xml:space="preserve">את </w:t>
      </w:r>
      <w:r w:rsidR="00E11B0C">
        <w:rPr>
          <w:rFonts w:hint="cs"/>
          <w:rtl/>
        </w:rPr>
        <w:t xml:space="preserve">הרשעתו בעבירת הרצח בכוונה תחילה. </w:t>
      </w:r>
    </w:p>
    <w:p w:rsidR="00BE7FDC" w:rsidRDefault="00BE7FDC" w:rsidP="00B7651B">
      <w:pPr>
        <w:pStyle w:val="Ruller40"/>
        <w:rPr>
          <w:rFonts w:ascii="Century" w:hAnsi="Century" w:cs="Miriam"/>
          <w:b/>
          <w:spacing w:val="0"/>
          <w:szCs w:val="24"/>
          <w:rtl/>
        </w:rPr>
      </w:pPr>
    </w:p>
    <w:p w:rsidR="00662464" w:rsidRPr="00662464" w:rsidRDefault="00662464" w:rsidP="00B7651B">
      <w:pPr>
        <w:pStyle w:val="Ruller40"/>
        <w:rPr>
          <w:rFonts w:ascii="Century" w:hAnsi="Century" w:cs="Miriam"/>
          <w:b/>
          <w:spacing w:val="0"/>
          <w:szCs w:val="24"/>
          <w:rtl/>
        </w:rPr>
      </w:pPr>
      <w:r w:rsidRPr="00662464">
        <w:rPr>
          <w:rFonts w:ascii="Century" w:hAnsi="Century" w:cs="Miriam" w:hint="cs"/>
          <w:b/>
          <w:spacing w:val="0"/>
          <w:szCs w:val="24"/>
          <w:rtl/>
        </w:rPr>
        <w:t>סוף דבר</w:t>
      </w:r>
    </w:p>
    <w:p w:rsidR="00D969F0" w:rsidRDefault="00D969F0" w:rsidP="00D969F0">
      <w:pPr>
        <w:pStyle w:val="Ruller40"/>
        <w:rPr>
          <w:rtl/>
        </w:rPr>
      </w:pPr>
    </w:p>
    <w:p w:rsidR="00092FA6" w:rsidRDefault="00420E9E" w:rsidP="00B426B5">
      <w:pPr>
        <w:pStyle w:val="Ruller4"/>
      </w:pPr>
      <w:r>
        <w:rPr>
          <w:rFonts w:hint="cs"/>
          <w:rtl/>
        </w:rPr>
        <w:t>פעם נוספ</w:t>
      </w:r>
      <w:r w:rsidR="00E11B0C">
        <w:rPr>
          <w:rFonts w:hint="cs"/>
          <w:rtl/>
        </w:rPr>
        <w:t>ת אנו נחשפים למערכת יחסים אלימה</w:t>
      </w:r>
      <w:r w:rsidR="003137BD">
        <w:rPr>
          <w:rFonts w:hint="cs"/>
          <w:rtl/>
        </w:rPr>
        <w:t xml:space="preserve"> בין בני זוג</w:t>
      </w:r>
      <w:r>
        <w:rPr>
          <w:rFonts w:hint="cs"/>
          <w:rtl/>
        </w:rPr>
        <w:t xml:space="preserve"> שסופה ברצח אכזרי</w:t>
      </w:r>
      <w:r w:rsidR="00092FA6">
        <w:rPr>
          <w:rFonts w:hint="cs"/>
          <w:rtl/>
        </w:rPr>
        <w:t>;</w:t>
      </w:r>
      <w:r>
        <w:rPr>
          <w:rFonts w:hint="cs"/>
          <w:rtl/>
        </w:rPr>
        <w:t xml:space="preserve"> פעם </w:t>
      </w:r>
      <w:r w:rsidR="00F153BF">
        <w:rPr>
          <w:rFonts w:hint="cs"/>
          <w:rtl/>
        </w:rPr>
        <w:t>נוספת</w:t>
      </w:r>
      <w:r>
        <w:rPr>
          <w:rFonts w:hint="cs"/>
          <w:rtl/>
        </w:rPr>
        <w:t xml:space="preserve"> מובא לפנינו תסקיר </w:t>
      </w:r>
      <w:r w:rsidR="00DE637E">
        <w:rPr>
          <w:rFonts w:hint="cs"/>
          <w:rtl/>
        </w:rPr>
        <w:t xml:space="preserve">נפגע עבירה </w:t>
      </w:r>
      <w:r w:rsidR="00092FA6">
        <w:rPr>
          <w:rFonts w:hint="cs"/>
          <w:rtl/>
        </w:rPr>
        <w:t>המצייר תמונה עגומה</w:t>
      </w:r>
      <w:r>
        <w:rPr>
          <w:rFonts w:hint="cs"/>
          <w:rtl/>
        </w:rPr>
        <w:t xml:space="preserve"> </w:t>
      </w:r>
      <w:r w:rsidR="008F378E">
        <w:rPr>
          <w:rFonts w:hint="cs"/>
          <w:rtl/>
        </w:rPr>
        <w:t xml:space="preserve">וקשה </w:t>
      </w:r>
      <w:r w:rsidR="00092FA6">
        <w:rPr>
          <w:rFonts w:hint="cs"/>
          <w:rtl/>
        </w:rPr>
        <w:t>בדבר</w:t>
      </w:r>
      <w:r>
        <w:rPr>
          <w:rFonts w:hint="cs"/>
          <w:rtl/>
        </w:rPr>
        <w:t xml:space="preserve"> הנזקים </w:t>
      </w:r>
      <w:r w:rsidR="00EF22C8">
        <w:rPr>
          <w:rFonts w:hint="cs"/>
          <w:rtl/>
        </w:rPr>
        <w:t>הרבים</w:t>
      </w:r>
      <w:r>
        <w:rPr>
          <w:rFonts w:hint="cs"/>
          <w:rtl/>
        </w:rPr>
        <w:t xml:space="preserve"> שנגרמו לילדי בני הזוג ולמשפחת המנוחה</w:t>
      </w:r>
      <w:r w:rsidR="00641910">
        <w:rPr>
          <w:rFonts w:hint="cs"/>
          <w:rtl/>
        </w:rPr>
        <w:t xml:space="preserve"> מאובדנה</w:t>
      </w:r>
      <w:r w:rsidR="00F153BF">
        <w:rPr>
          <w:rFonts w:hint="cs"/>
          <w:rtl/>
        </w:rPr>
        <w:t>, כמו גם</w:t>
      </w:r>
      <w:r w:rsidR="00EF22C8">
        <w:rPr>
          <w:rFonts w:hint="cs"/>
          <w:rtl/>
        </w:rPr>
        <w:t xml:space="preserve"> על כאבם העמוק</w:t>
      </w:r>
      <w:r w:rsidR="00092FA6">
        <w:rPr>
          <w:rFonts w:hint="cs"/>
          <w:rtl/>
        </w:rPr>
        <w:t>;</w:t>
      </w:r>
      <w:r>
        <w:rPr>
          <w:rFonts w:hint="cs"/>
          <w:rtl/>
        </w:rPr>
        <w:t xml:space="preserve"> </w:t>
      </w:r>
      <w:r w:rsidR="00885723">
        <w:rPr>
          <w:rFonts w:hint="cs"/>
          <w:rtl/>
        </w:rPr>
        <w:lastRenderedPageBreak/>
        <w:t xml:space="preserve">פעם </w:t>
      </w:r>
      <w:r w:rsidR="00E11B0C">
        <w:rPr>
          <w:rFonts w:hint="cs"/>
          <w:rtl/>
        </w:rPr>
        <w:t xml:space="preserve">נוספת </w:t>
      </w:r>
      <w:r>
        <w:rPr>
          <w:rFonts w:hint="cs"/>
          <w:rtl/>
        </w:rPr>
        <w:t xml:space="preserve">לא נותר </w:t>
      </w:r>
      <w:r w:rsidR="00B426B5">
        <w:rPr>
          <w:rFonts w:hint="cs"/>
          <w:rtl/>
        </w:rPr>
        <w:t xml:space="preserve">לנו </w:t>
      </w:r>
      <w:r>
        <w:rPr>
          <w:rFonts w:hint="cs"/>
          <w:rtl/>
        </w:rPr>
        <w:t xml:space="preserve">אלא להשית על המערער את העונש החמור ביותר הקבוע בדין </w:t>
      </w:r>
      <w:r>
        <w:rPr>
          <w:rtl/>
        </w:rPr>
        <w:t>–</w:t>
      </w:r>
      <w:r>
        <w:rPr>
          <w:rFonts w:hint="cs"/>
          <w:rtl/>
        </w:rPr>
        <w:t xml:space="preserve"> עונש של מאסר עולם, כפי </w:t>
      </w:r>
      <w:r w:rsidR="00885723">
        <w:rPr>
          <w:rFonts w:hint="cs"/>
          <w:rtl/>
        </w:rPr>
        <w:t>שהחוק</w:t>
      </w:r>
      <w:r w:rsidR="00092FA6">
        <w:rPr>
          <w:rFonts w:hint="cs"/>
          <w:rtl/>
        </w:rPr>
        <w:t xml:space="preserve"> מחייב.</w:t>
      </w:r>
    </w:p>
    <w:p w:rsidR="00092FA6" w:rsidRDefault="00092FA6" w:rsidP="00092FA6">
      <w:pPr>
        <w:pStyle w:val="Ruller4"/>
        <w:numPr>
          <w:ilvl w:val="0"/>
          <w:numId w:val="0"/>
        </w:numPr>
        <w:rPr>
          <w:rtl/>
        </w:rPr>
      </w:pPr>
    </w:p>
    <w:p w:rsidR="000F0BFB" w:rsidRDefault="00F153BF" w:rsidP="00DE637E">
      <w:pPr>
        <w:pStyle w:val="Ruller4"/>
        <w:numPr>
          <w:ilvl w:val="0"/>
          <w:numId w:val="0"/>
        </w:numPr>
        <w:rPr>
          <w:rtl/>
        </w:rPr>
      </w:pPr>
      <w:r>
        <w:rPr>
          <w:rtl/>
        </w:rPr>
        <w:tab/>
      </w:r>
      <w:r w:rsidR="00EF22C8">
        <w:rPr>
          <w:rFonts w:hint="cs"/>
          <w:rtl/>
        </w:rPr>
        <w:t>אך לאחרונה ציינתי:</w:t>
      </w:r>
      <w:r w:rsidR="00092FA6">
        <w:rPr>
          <w:rFonts w:hint="cs"/>
          <w:rtl/>
        </w:rPr>
        <w:t xml:space="preserve"> </w:t>
      </w:r>
      <w:r w:rsidR="00092FA6" w:rsidRPr="00092FA6">
        <w:rPr>
          <w:rtl/>
        </w:rPr>
        <w:t>"</w:t>
      </w:r>
      <w:r w:rsidR="00092FA6" w:rsidRPr="00392715">
        <w:rPr>
          <w:rFonts w:ascii="Century" w:hAnsi="Century" w:cs="Miriam"/>
          <w:b/>
          <w:spacing w:val="0"/>
          <w:sz w:val="22"/>
          <w:szCs w:val="24"/>
          <w:rtl/>
        </w:rPr>
        <w:t>ניסיון החיים מלמד שכאשר גבר נוהג באלימות כלפי בת-זוגו בהווה או בעבר, אירועי אלימות ברף הנמוך יכולים להוות סמן מקדים לאירוע אלימות חמור שעלול להגיע עד כדי רצח</w:t>
      </w:r>
      <w:r w:rsidR="00092FA6" w:rsidRPr="00092FA6">
        <w:rPr>
          <w:rFonts w:hint="cs"/>
          <w:rtl/>
        </w:rPr>
        <w:t>" (</w:t>
      </w:r>
      <w:proofErr w:type="spellStart"/>
      <w:r w:rsidR="00092FA6" w:rsidRPr="00092FA6">
        <w:rPr>
          <w:rtl/>
        </w:rPr>
        <w:t>רע"פ</w:t>
      </w:r>
      <w:proofErr w:type="spellEnd"/>
      <w:r w:rsidR="00092FA6" w:rsidRPr="00092FA6">
        <w:rPr>
          <w:rtl/>
        </w:rPr>
        <w:t xml:space="preserve"> 2329/23 </w:t>
      </w:r>
      <w:r w:rsidR="00092FA6" w:rsidRPr="00092FA6">
        <w:rPr>
          <w:rFonts w:ascii="Century" w:hAnsi="Century" w:cs="Miriam"/>
          <w:b/>
          <w:spacing w:val="0"/>
          <w:sz w:val="22"/>
          <w:szCs w:val="24"/>
          <w:rtl/>
        </w:rPr>
        <w:t>פלוני נ' מדינת ישראל</w:t>
      </w:r>
      <w:r w:rsidR="00092FA6">
        <w:rPr>
          <w:rFonts w:hint="cs"/>
          <w:rtl/>
        </w:rPr>
        <w:t xml:space="preserve">, פסקה </w:t>
      </w:r>
      <w:r w:rsidR="0099278C">
        <w:rPr>
          <w:rFonts w:hint="cs"/>
          <w:rtl/>
        </w:rPr>
        <w:t>15</w:t>
      </w:r>
      <w:r w:rsidR="00092FA6">
        <w:rPr>
          <w:rFonts w:hint="cs"/>
          <w:rtl/>
        </w:rPr>
        <w:t xml:space="preserve"> </w:t>
      </w:r>
      <w:r w:rsidR="00092FA6" w:rsidRPr="00092FA6">
        <w:rPr>
          <w:rtl/>
        </w:rPr>
        <w:t>(</w:t>
      </w:r>
      <w:r w:rsidR="00092FA6">
        <w:rPr>
          <w:rFonts w:hint="cs"/>
          <w:rtl/>
        </w:rPr>
        <w:t>23.3.2023</w:t>
      </w:r>
      <w:r w:rsidR="00092FA6" w:rsidRPr="00092FA6">
        <w:rPr>
          <w:rtl/>
        </w:rPr>
        <w:t>)</w:t>
      </w:r>
      <w:r w:rsidR="004F666D">
        <w:rPr>
          <w:rFonts w:hint="cs"/>
          <w:rtl/>
        </w:rPr>
        <w:t>).</w:t>
      </w:r>
    </w:p>
    <w:p w:rsidR="000F0BFB" w:rsidRDefault="000F0BFB" w:rsidP="00DE637E">
      <w:pPr>
        <w:pStyle w:val="Ruller4"/>
        <w:numPr>
          <w:ilvl w:val="0"/>
          <w:numId w:val="0"/>
        </w:numPr>
        <w:rPr>
          <w:rtl/>
        </w:rPr>
      </w:pPr>
    </w:p>
    <w:p w:rsidR="00EF22C8" w:rsidRDefault="000F0BFB" w:rsidP="00DE637E">
      <w:pPr>
        <w:pStyle w:val="Ruller4"/>
        <w:numPr>
          <w:ilvl w:val="0"/>
          <w:numId w:val="0"/>
        </w:numPr>
        <w:rPr>
          <w:rtl/>
        </w:rPr>
      </w:pPr>
      <w:r>
        <w:rPr>
          <w:rtl/>
        </w:rPr>
        <w:tab/>
      </w:r>
      <w:r w:rsidR="00EF22C8">
        <w:rPr>
          <w:rFonts w:hint="cs"/>
          <w:rtl/>
        </w:rPr>
        <w:t xml:space="preserve">כך </w:t>
      </w:r>
      <w:r w:rsidR="00EE6B2D">
        <w:rPr>
          <w:rFonts w:hint="cs"/>
          <w:rtl/>
        </w:rPr>
        <w:t>היה גם בענייננו, אולם הסוף הטר</w:t>
      </w:r>
      <w:r w:rsidR="00B426B5">
        <w:rPr>
          <w:rFonts w:hint="cs"/>
          <w:rtl/>
        </w:rPr>
        <w:t>א</w:t>
      </w:r>
      <w:r w:rsidR="00EE6B2D">
        <w:rPr>
          <w:rFonts w:hint="cs"/>
          <w:rtl/>
        </w:rPr>
        <w:t>גי לא נמנע,</w:t>
      </w:r>
      <w:r w:rsidR="00EF22C8">
        <w:rPr>
          <w:rFonts w:hint="cs"/>
          <w:rtl/>
        </w:rPr>
        <w:t xml:space="preserve"> וחייה של סוזאן ותד </w:t>
      </w:r>
      <w:r w:rsidR="00092FA6">
        <w:rPr>
          <w:rFonts w:hint="cs"/>
          <w:rtl/>
        </w:rPr>
        <w:t xml:space="preserve">ז"ל </w:t>
      </w:r>
      <w:r w:rsidR="00EF22C8">
        <w:rPr>
          <w:rFonts w:hint="cs"/>
          <w:rtl/>
        </w:rPr>
        <w:t xml:space="preserve">קופחו באכזריות. </w:t>
      </w:r>
      <w:r w:rsidR="00B426B5">
        <w:rPr>
          <w:rFonts w:hint="cs"/>
          <w:rtl/>
        </w:rPr>
        <w:t xml:space="preserve">לאחר זאת, </w:t>
      </w:r>
      <w:r w:rsidR="00ED0A71">
        <w:rPr>
          <w:rFonts w:hint="cs"/>
          <w:rtl/>
        </w:rPr>
        <w:t xml:space="preserve">המערער </w:t>
      </w:r>
      <w:r w:rsidR="001B32B4">
        <w:rPr>
          <w:rFonts w:hint="cs"/>
          <w:rtl/>
        </w:rPr>
        <w:t xml:space="preserve">השליך </w:t>
      </w:r>
      <w:r w:rsidR="00EE6B2D">
        <w:rPr>
          <w:rFonts w:hint="cs"/>
          <w:rtl/>
        </w:rPr>
        <w:t xml:space="preserve">בחורשה </w:t>
      </w:r>
      <w:r w:rsidR="001B32B4">
        <w:rPr>
          <w:rFonts w:hint="cs"/>
          <w:rtl/>
        </w:rPr>
        <w:t>את גופתה</w:t>
      </w:r>
      <w:r w:rsidR="00885723">
        <w:rPr>
          <w:rFonts w:hint="cs"/>
          <w:rtl/>
        </w:rPr>
        <w:t xml:space="preserve"> </w:t>
      </w:r>
      <w:r w:rsidR="00092FA6">
        <w:rPr>
          <w:rFonts w:hint="cs"/>
          <w:rtl/>
        </w:rPr>
        <w:t>של מי שהייתה</w:t>
      </w:r>
      <w:r w:rsidR="00885723">
        <w:rPr>
          <w:rFonts w:hint="cs"/>
          <w:rtl/>
        </w:rPr>
        <w:t xml:space="preserve"> </w:t>
      </w:r>
      <w:r w:rsidR="00DE637E">
        <w:rPr>
          <w:rFonts w:hint="cs"/>
          <w:rtl/>
        </w:rPr>
        <w:t>זוגתו</w:t>
      </w:r>
      <w:r w:rsidR="00885723">
        <w:rPr>
          <w:rFonts w:hint="cs"/>
          <w:rtl/>
        </w:rPr>
        <w:t xml:space="preserve"> משך למעלה משני עשורים</w:t>
      </w:r>
      <w:r w:rsidR="00092FA6">
        <w:rPr>
          <w:rFonts w:hint="cs"/>
          <w:rtl/>
        </w:rPr>
        <w:t>.</w:t>
      </w:r>
      <w:r w:rsidR="00EE6B2D">
        <w:rPr>
          <w:rFonts w:hint="cs"/>
          <w:rtl/>
        </w:rPr>
        <w:t xml:space="preserve"> </w:t>
      </w:r>
      <w:r w:rsidR="00ED0A71">
        <w:rPr>
          <w:rFonts w:hint="cs"/>
          <w:rtl/>
        </w:rPr>
        <w:t xml:space="preserve">גם </w:t>
      </w:r>
      <w:r w:rsidR="00092FA6">
        <w:rPr>
          <w:rFonts w:hint="cs"/>
          <w:rtl/>
        </w:rPr>
        <w:t>על הקטינה לא ריחם, עת ש</w:t>
      </w:r>
      <w:r w:rsidR="001B32B4">
        <w:rPr>
          <w:rFonts w:hint="cs"/>
          <w:rtl/>
        </w:rPr>
        <w:t xml:space="preserve">טלטל את חייה </w:t>
      </w:r>
      <w:r w:rsidR="00092FA6">
        <w:rPr>
          <w:rFonts w:hint="cs"/>
          <w:rtl/>
        </w:rPr>
        <w:t>ו</w:t>
      </w:r>
      <w:r w:rsidR="00EE6B2D">
        <w:rPr>
          <w:rFonts w:hint="cs"/>
          <w:rtl/>
        </w:rPr>
        <w:t>נ</w:t>
      </w:r>
      <w:r w:rsidR="001B32B4">
        <w:rPr>
          <w:rFonts w:hint="cs"/>
          <w:rtl/>
        </w:rPr>
        <w:t xml:space="preserve">טע בה תקוות שווא כי אמה עודנה בחיים. </w:t>
      </w:r>
      <w:r w:rsidR="009E27FC">
        <w:rPr>
          <w:rFonts w:hint="cs"/>
          <w:rtl/>
        </w:rPr>
        <w:t>מדובר ב</w:t>
      </w:r>
      <w:r w:rsidR="006D135B">
        <w:rPr>
          <w:rFonts w:hint="cs"/>
          <w:rtl/>
        </w:rPr>
        <w:t>מעשה בלתי אנושי</w:t>
      </w:r>
      <w:r w:rsidR="00E11B0C">
        <w:rPr>
          <w:rFonts w:hint="cs"/>
          <w:rtl/>
        </w:rPr>
        <w:t>, בגינו עליו לתת את הדין במלוא חומרתו</w:t>
      </w:r>
      <w:r w:rsidR="006D135B">
        <w:rPr>
          <w:rFonts w:hint="cs"/>
          <w:rtl/>
        </w:rPr>
        <w:t xml:space="preserve">. </w:t>
      </w:r>
    </w:p>
    <w:p w:rsidR="00885723" w:rsidRDefault="00885723" w:rsidP="00885723">
      <w:pPr>
        <w:pStyle w:val="Ruller40"/>
        <w:rPr>
          <w:rtl/>
        </w:rPr>
      </w:pPr>
    </w:p>
    <w:p w:rsidR="00885723" w:rsidRPr="00885723" w:rsidRDefault="0099278C" w:rsidP="00885723">
      <w:pPr>
        <w:pStyle w:val="Ruller4"/>
      </w:pPr>
      <w:r>
        <w:rPr>
          <w:rFonts w:hint="cs"/>
          <w:rtl/>
        </w:rPr>
        <w:t xml:space="preserve">מכלל הטעמים לעיל, </w:t>
      </w:r>
      <w:r w:rsidR="00885723">
        <w:rPr>
          <w:rFonts w:hint="cs"/>
          <w:rtl/>
        </w:rPr>
        <w:t xml:space="preserve">אציע לחבריי כי נורה על דחיית הערעור. </w:t>
      </w:r>
    </w:p>
    <w:p w:rsidR="00EF22C8" w:rsidRDefault="00EF22C8" w:rsidP="00EF22C8">
      <w:pPr>
        <w:pStyle w:val="Ruller4"/>
        <w:numPr>
          <w:ilvl w:val="0"/>
          <w:numId w:val="0"/>
        </w:numPr>
        <w:rPr>
          <w:rtl/>
        </w:rPr>
      </w:pPr>
    </w:p>
    <w:p w:rsidR="0002011A" w:rsidRDefault="0002011A" w:rsidP="0002011A">
      <w:pPr>
        <w:pStyle w:val="Ruller40"/>
        <w:rPr>
          <w:rtl/>
        </w:rPr>
      </w:pPr>
    </w:p>
    <w:p w:rsidR="0002011A" w:rsidRPr="0002011A" w:rsidRDefault="0002011A" w:rsidP="0002011A">
      <w:pPr>
        <w:pStyle w:val="Ruller40"/>
        <w:rPr>
          <w:rtl/>
        </w:rPr>
      </w:pPr>
    </w:p>
    <w:p w:rsidR="00282FB7" w:rsidRDefault="00EF22C8" w:rsidP="005042A5">
      <w:pPr>
        <w:pStyle w:val="Ruller4"/>
        <w:numPr>
          <w:ilvl w:val="0"/>
          <w:numId w:val="0"/>
        </w:numPr>
        <w:jc w:val="right"/>
        <w:rPr>
          <w:rtl/>
        </w:rPr>
      </w:pPr>
      <w:r>
        <w:rPr>
          <w:rtl/>
        </w:rPr>
        <w:tab/>
      </w:r>
      <w:r>
        <w:rPr>
          <w:rFonts w:hint="cs"/>
          <w:rtl/>
        </w:rPr>
        <w:t xml:space="preserve"> </w:t>
      </w:r>
      <w:r w:rsidR="005042A5">
        <w:rPr>
          <w:rFonts w:hint="cs"/>
          <w:rtl/>
        </w:rPr>
        <w:t>ש ו פ ט</w:t>
      </w:r>
    </w:p>
    <w:p w:rsidR="005042A5" w:rsidRDefault="005042A5" w:rsidP="005042A5">
      <w:pPr>
        <w:pStyle w:val="Ruller40"/>
        <w:rPr>
          <w:rtl/>
        </w:rPr>
      </w:pPr>
    </w:p>
    <w:p w:rsidR="0002011A" w:rsidRDefault="0002011A" w:rsidP="005042A5">
      <w:pPr>
        <w:pStyle w:val="Ruller40"/>
        <w:rPr>
          <w:rtl/>
        </w:rPr>
      </w:pPr>
    </w:p>
    <w:p w:rsidR="0002011A" w:rsidRDefault="0002011A" w:rsidP="005042A5">
      <w:pPr>
        <w:pStyle w:val="Ruller40"/>
        <w:rPr>
          <w:rtl/>
        </w:rPr>
      </w:pPr>
    </w:p>
    <w:p w:rsidR="005042A5" w:rsidRDefault="005042A5" w:rsidP="005042A5">
      <w:pPr>
        <w:pStyle w:val="Ruller40"/>
        <w:rPr>
          <w:rFonts w:ascii="Century" w:hAnsi="Century" w:cs="Miriam"/>
          <w:b/>
          <w:spacing w:val="0"/>
          <w:szCs w:val="24"/>
          <w:rtl/>
        </w:rPr>
      </w:pPr>
      <w:r w:rsidRPr="005042A5">
        <w:rPr>
          <w:rFonts w:ascii="Century" w:hAnsi="Century" w:cs="Miriam" w:hint="cs"/>
          <w:b/>
          <w:spacing w:val="0"/>
          <w:szCs w:val="24"/>
          <w:u w:val="single"/>
          <w:rtl/>
        </w:rPr>
        <w:t>השופט ח' כבוב</w:t>
      </w:r>
      <w:r>
        <w:rPr>
          <w:rFonts w:ascii="Century" w:hAnsi="Century" w:cs="Miriam" w:hint="cs"/>
          <w:b/>
          <w:spacing w:val="0"/>
          <w:szCs w:val="24"/>
          <w:rtl/>
        </w:rPr>
        <w:t>:</w:t>
      </w:r>
    </w:p>
    <w:p w:rsidR="005042A5" w:rsidRDefault="005042A5" w:rsidP="005042A5">
      <w:pPr>
        <w:pStyle w:val="Ruller40"/>
        <w:rPr>
          <w:rFonts w:ascii="Century" w:hAnsi="Century" w:cs="Miriam"/>
          <w:b/>
          <w:spacing w:val="0"/>
          <w:szCs w:val="24"/>
          <w:rtl/>
        </w:rPr>
      </w:pPr>
    </w:p>
    <w:p w:rsidR="0002011A" w:rsidRDefault="0002011A" w:rsidP="005042A5">
      <w:pPr>
        <w:pStyle w:val="Ruller40"/>
        <w:rPr>
          <w:rtl/>
        </w:rPr>
      </w:pPr>
    </w:p>
    <w:p w:rsidR="005042A5" w:rsidRDefault="005042A5" w:rsidP="005042A5">
      <w:pPr>
        <w:pStyle w:val="Ruller40"/>
        <w:rPr>
          <w:rtl/>
        </w:rPr>
      </w:pPr>
      <w:r>
        <w:rPr>
          <w:rtl/>
        </w:rPr>
        <w:tab/>
      </w:r>
      <w:r>
        <w:rPr>
          <w:rFonts w:hint="cs"/>
          <w:rtl/>
        </w:rPr>
        <w:t xml:space="preserve">אני מסכים. </w:t>
      </w:r>
    </w:p>
    <w:p w:rsidR="005042A5" w:rsidRDefault="005042A5" w:rsidP="005042A5">
      <w:pPr>
        <w:pStyle w:val="Ruller40"/>
        <w:rPr>
          <w:rtl/>
        </w:rPr>
      </w:pPr>
    </w:p>
    <w:p w:rsidR="0002011A" w:rsidRDefault="0002011A" w:rsidP="005042A5">
      <w:pPr>
        <w:pStyle w:val="Ruller40"/>
        <w:rPr>
          <w:rtl/>
        </w:rPr>
      </w:pPr>
    </w:p>
    <w:p w:rsidR="005042A5" w:rsidRDefault="005042A5" w:rsidP="005042A5">
      <w:pPr>
        <w:pStyle w:val="Ruller40"/>
        <w:jc w:val="right"/>
        <w:rPr>
          <w:rtl/>
        </w:rPr>
      </w:pPr>
      <w:r>
        <w:rPr>
          <w:rFonts w:hint="cs"/>
          <w:rtl/>
        </w:rPr>
        <w:t>ש ו פ ט</w:t>
      </w:r>
    </w:p>
    <w:p w:rsidR="005042A5" w:rsidRDefault="005042A5" w:rsidP="005042A5">
      <w:pPr>
        <w:pStyle w:val="Ruller40"/>
        <w:jc w:val="right"/>
        <w:rPr>
          <w:rtl/>
        </w:rPr>
      </w:pPr>
    </w:p>
    <w:p w:rsidR="0002011A" w:rsidRDefault="0002011A" w:rsidP="005042A5">
      <w:pPr>
        <w:pStyle w:val="Ruller40"/>
        <w:jc w:val="right"/>
        <w:rPr>
          <w:rtl/>
        </w:rPr>
      </w:pPr>
    </w:p>
    <w:p w:rsidR="0002011A" w:rsidRDefault="0002011A" w:rsidP="005042A5">
      <w:pPr>
        <w:pStyle w:val="Ruller40"/>
        <w:jc w:val="right"/>
        <w:rPr>
          <w:rtl/>
        </w:rPr>
      </w:pPr>
    </w:p>
    <w:p w:rsidR="0002011A" w:rsidRDefault="0002011A" w:rsidP="005042A5">
      <w:pPr>
        <w:pStyle w:val="Ruller40"/>
        <w:jc w:val="right"/>
        <w:rPr>
          <w:rtl/>
        </w:rPr>
      </w:pPr>
    </w:p>
    <w:p w:rsidR="0002011A" w:rsidRDefault="0002011A" w:rsidP="005042A5">
      <w:pPr>
        <w:pStyle w:val="Ruller40"/>
        <w:jc w:val="right"/>
        <w:rPr>
          <w:rtl/>
        </w:rPr>
      </w:pPr>
    </w:p>
    <w:p w:rsidR="0002011A" w:rsidRDefault="0002011A" w:rsidP="005042A5">
      <w:pPr>
        <w:pStyle w:val="Ruller40"/>
        <w:jc w:val="right"/>
        <w:rPr>
          <w:rtl/>
        </w:rPr>
      </w:pPr>
    </w:p>
    <w:p w:rsidR="0002011A" w:rsidRPr="005042A5" w:rsidRDefault="0002011A" w:rsidP="005042A5">
      <w:pPr>
        <w:pStyle w:val="Ruller40"/>
        <w:jc w:val="right"/>
      </w:pPr>
    </w:p>
    <w:p w:rsidR="005042A5" w:rsidRDefault="005042A5" w:rsidP="005042A5">
      <w:pPr>
        <w:pStyle w:val="Ruller40"/>
        <w:rPr>
          <w:rFonts w:ascii="Century" w:hAnsi="Century" w:cs="Miriam"/>
          <w:b/>
          <w:spacing w:val="0"/>
          <w:szCs w:val="24"/>
          <w:rtl/>
        </w:rPr>
      </w:pPr>
      <w:r w:rsidRPr="005042A5">
        <w:rPr>
          <w:rFonts w:ascii="Century" w:hAnsi="Century" w:cs="Miriam" w:hint="cs"/>
          <w:b/>
          <w:spacing w:val="0"/>
          <w:szCs w:val="24"/>
          <w:u w:val="single"/>
          <w:rtl/>
        </w:rPr>
        <w:t xml:space="preserve">השופט </w:t>
      </w:r>
      <w:r>
        <w:rPr>
          <w:rFonts w:ascii="Century" w:hAnsi="Century" w:cs="Miriam" w:hint="cs"/>
          <w:b/>
          <w:spacing w:val="0"/>
          <w:szCs w:val="24"/>
          <w:u w:val="single"/>
          <w:rtl/>
        </w:rPr>
        <w:t>י' כשר</w:t>
      </w:r>
      <w:r>
        <w:rPr>
          <w:rFonts w:ascii="Century" w:hAnsi="Century" w:cs="Miriam" w:hint="cs"/>
          <w:b/>
          <w:spacing w:val="0"/>
          <w:szCs w:val="24"/>
          <w:rtl/>
        </w:rPr>
        <w:t>:</w:t>
      </w:r>
    </w:p>
    <w:p w:rsidR="005042A5" w:rsidRDefault="005042A5" w:rsidP="005042A5">
      <w:pPr>
        <w:pStyle w:val="Ruller40"/>
        <w:rPr>
          <w:rFonts w:ascii="Century" w:hAnsi="Century" w:cs="Miriam"/>
          <w:b/>
          <w:spacing w:val="0"/>
          <w:szCs w:val="24"/>
          <w:rtl/>
        </w:rPr>
      </w:pPr>
    </w:p>
    <w:p w:rsidR="005042A5" w:rsidRDefault="005042A5" w:rsidP="005042A5">
      <w:pPr>
        <w:pStyle w:val="Ruller40"/>
        <w:rPr>
          <w:rtl/>
        </w:rPr>
      </w:pPr>
      <w:r>
        <w:rPr>
          <w:rtl/>
        </w:rPr>
        <w:tab/>
      </w:r>
      <w:r>
        <w:rPr>
          <w:rFonts w:hint="cs"/>
          <w:rtl/>
        </w:rPr>
        <w:t xml:space="preserve">אני מסכים. </w:t>
      </w:r>
    </w:p>
    <w:p w:rsidR="005042A5" w:rsidRDefault="005042A5" w:rsidP="005042A5">
      <w:pPr>
        <w:pStyle w:val="Ruller40"/>
        <w:rPr>
          <w:rtl/>
        </w:rPr>
      </w:pPr>
    </w:p>
    <w:p w:rsidR="005042A5" w:rsidRDefault="005042A5" w:rsidP="005042A5">
      <w:pPr>
        <w:pStyle w:val="Ruller40"/>
        <w:jc w:val="right"/>
        <w:rPr>
          <w:rtl/>
        </w:rPr>
      </w:pPr>
      <w:r>
        <w:rPr>
          <w:rFonts w:hint="cs"/>
          <w:rtl/>
        </w:rPr>
        <w:t>ש ו פ ט</w:t>
      </w:r>
    </w:p>
    <w:p w:rsidR="005042A5" w:rsidRDefault="005042A5" w:rsidP="005042A5">
      <w:pPr>
        <w:pStyle w:val="Ruller40"/>
        <w:jc w:val="right"/>
        <w:rPr>
          <w:rtl/>
        </w:rPr>
      </w:pPr>
    </w:p>
    <w:p w:rsidR="0002011A" w:rsidRDefault="0002011A" w:rsidP="005042A5">
      <w:pPr>
        <w:pStyle w:val="Ruller40"/>
        <w:jc w:val="right"/>
        <w:rPr>
          <w:rtl/>
        </w:rPr>
      </w:pPr>
    </w:p>
    <w:p w:rsidR="005042A5" w:rsidRDefault="005042A5" w:rsidP="005042A5">
      <w:pPr>
        <w:pStyle w:val="Ruller40"/>
        <w:rPr>
          <w:rtl/>
        </w:rPr>
      </w:pPr>
      <w:r>
        <w:rPr>
          <w:rtl/>
        </w:rPr>
        <w:tab/>
      </w:r>
      <w:r>
        <w:rPr>
          <w:rFonts w:hint="cs"/>
          <w:rtl/>
        </w:rPr>
        <w:t xml:space="preserve">הוחלט כאמור בפסק דינו של השופט </w:t>
      </w:r>
      <w:r w:rsidRPr="005042A5">
        <w:rPr>
          <w:rFonts w:ascii="Century" w:hAnsi="Century" w:cs="Miriam" w:hint="cs"/>
          <w:b/>
          <w:spacing w:val="0"/>
          <w:szCs w:val="24"/>
          <w:rtl/>
        </w:rPr>
        <w:t>י' אלרון</w:t>
      </w:r>
      <w:r>
        <w:rPr>
          <w:rFonts w:hint="cs"/>
          <w:rtl/>
        </w:rPr>
        <w:t xml:space="preserve">. </w:t>
      </w:r>
    </w:p>
    <w:p w:rsidR="005042A5" w:rsidRDefault="005042A5" w:rsidP="005042A5">
      <w:pPr>
        <w:pStyle w:val="Ruller40"/>
        <w:rPr>
          <w:rtl/>
        </w:rPr>
      </w:pPr>
    </w:p>
    <w:p w:rsidR="005042A5" w:rsidRDefault="005042A5" w:rsidP="00116131">
      <w:pPr>
        <w:pStyle w:val="Ruller40"/>
        <w:rPr>
          <w:rtl/>
        </w:rPr>
      </w:pPr>
      <w:r>
        <w:rPr>
          <w:rtl/>
        </w:rPr>
        <w:tab/>
        <w:t xml:space="preserve">ניתן היום, </w:t>
      </w:r>
      <w:r w:rsidR="00116131">
        <w:rPr>
          <w:rFonts w:hint="cs"/>
          <w:rtl/>
        </w:rPr>
        <w:t>ט"ז</w:t>
      </w:r>
      <w:r>
        <w:rPr>
          <w:rtl/>
        </w:rPr>
        <w:t xml:space="preserve"> באייר </w:t>
      </w:r>
      <w:proofErr w:type="spellStart"/>
      <w:r>
        <w:rPr>
          <w:rtl/>
        </w:rPr>
        <w:t>התשפ"ג</w:t>
      </w:r>
      <w:proofErr w:type="spellEnd"/>
      <w:r>
        <w:rPr>
          <w:rtl/>
        </w:rPr>
        <w:t xml:space="preserve"> (</w:t>
      </w:r>
      <w:r>
        <w:rPr>
          <w:rFonts w:hint="eastAsia"/>
          <w:rtl/>
        </w:rPr>
        <w:t>‏</w:t>
      </w:r>
      <w:r w:rsidR="00116131">
        <w:rPr>
          <w:rFonts w:hint="cs"/>
          <w:rtl/>
        </w:rPr>
        <w:t>7</w:t>
      </w:r>
      <w:r w:rsidR="00D90D46">
        <w:rPr>
          <w:rtl/>
        </w:rPr>
        <w:t>.</w:t>
      </w:r>
      <w:r w:rsidR="00116131">
        <w:rPr>
          <w:rFonts w:hint="cs"/>
          <w:rtl/>
        </w:rPr>
        <w:t>5</w:t>
      </w:r>
      <w:r>
        <w:rPr>
          <w:rtl/>
        </w:rPr>
        <w:t>.2023).</w:t>
      </w:r>
    </w:p>
    <w:p w:rsidR="005042A5" w:rsidRDefault="005042A5" w:rsidP="005042A5">
      <w:pPr>
        <w:pStyle w:val="Ruller40"/>
        <w:rPr>
          <w:rtl/>
        </w:rPr>
      </w:pPr>
    </w:p>
    <w:p w:rsidR="005042A5" w:rsidRDefault="005042A5" w:rsidP="005042A5">
      <w:pPr>
        <w:pStyle w:val="Ruller40"/>
        <w:rPr>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2767"/>
        <w:gridCol w:w="2768"/>
      </w:tblGrid>
      <w:tr w:rsidR="005042A5" w:rsidTr="005042A5">
        <w:tc>
          <w:tcPr>
            <w:tcW w:w="2767" w:type="dxa"/>
          </w:tcPr>
          <w:p w:rsidR="005042A5" w:rsidRDefault="005042A5" w:rsidP="005042A5">
            <w:pPr>
              <w:pStyle w:val="Ruller40"/>
              <w:rPr>
                <w:rtl/>
              </w:rPr>
            </w:pPr>
            <w:r>
              <w:rPr>
                <w:rFonts w:hint="cs"/>
                <w:rtl/>
              </w:rPr>
              <w:t>ש ו פ ט</w:t>
            </w:r>
          </w:p>
        </w:tc>
        <w:tc>
          <w:tcPr>
            <w:tcW w:w="2767" w:type="dxa"/>
          </w:tcPr>
          <w:p w:rsidR="005042A5" w:rsidRDefault="005042A5" w:rsidP="005042A5">
            <w:pPr>
              <w:pStyle w:val="Ruller40"/>
              <w:jc w:val="center"/>
              <w:rPr>
                <w:rtl/>
              </w:rPr>
            </w:pPr>
            <w:r>
              <w:rPr>
                <w:rFonts w:hint="cs"/>
                <w:rtl/>
              </w:rPr>
              <w:t>ש ו פ ט</w:t>
            </w:r>
          </w:p>
        </w:tc>
        <w:tc>
          <w:tcPr>
            <w:tcW w:w="2768" w:type="dxa"/>
          </w:tcPr>
          <w:p w:rsidR="005042A5" w:rsidRDefault="005042A5" w:rsidP="005042A5">
            <w:pPr>
              <w:pStyle w:val="Ruller40"/>
              <w:jc w:val="right"/>
              <w:rPr>
                <w:rtl/>
              </w:rPr>
            </w:pPr>
            <w:r>
              <w:rPr>
                <w:rFonts w:hint="cs"/>
                <w:rtl/>
              </w:rPr>
              <w:t>ש ו פ ט</w:t>
            </w:r>
          </w:p>
        </w:tc>
      </w:tr>
    </w:tbl>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02011A" w:rsidRDefault="0002011A">
      <w:pPr>
        <w:rPr>
          <w:szCs w:val="16"/>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5660DA">
        <w:rPr>
          <w:sz w:val="16"/>
        </w:rPr>
        <w:t xml:space="preserve">22039920_J08.docx   </w:t>
      </w:r>
      <w:proofErr w:type="spellStart"/>
      <w:r w:rsidR="005660DA">
        <w:rPr>
          <w:sz w:val="16"/>
          <w:rtl/>
        </w:rPr>
        <w:t>עע</w:t>
      </w:r>
      <w:proofErr w:type="spellEnd"/>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10" w:history="1">
        <w:r w:rsidR="00180010" w:rsidRPr="00D77E93">
          <w:rPr>
            <w:rStyle w:val="Hyperlink"/>
            <w:sz w:val="16"/>
          </w:rPr>
          <w:t>https://supreme.court.gov.il</w:t>
        </w:r>
      </w:hyperlink>
    </w:p>
    <w:sectPr w:rsidR="00591983" w:rsidRPr="00FC0252" w:rsidSect="00591983">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365" w:rsidRDefault="00F34365">
      <w:r>
        <w:separator/>
      </w:r>
    </w:p>
  </w:endnote>
  <w:endnote w:type="continuationSeparator" w:id="0">
    <w:p w:rsidR="00F34365" w:rsidRDefault="00F3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C3E" w:rsidRDefault="001A4C3E">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1A4C3E" w:rsidRDefault="001A4C3E">
    <w:pPr>
      <w:pStyle w:val="a3"/>
      <w:rPr>
        <w:rtl/>
      </w:rPr>
    </w:pPr>
  </w:p>
  <w:p w:rsidR="001A4C3E" w:rsidRDefault="001A4C3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C3E" w:rsidRDefault="001A4C3E">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C3E" w:rsidRPr="00F959DB" w:rsidRDefault="001A4C3E" w:rsidP="00914156">
    <w:pPr>
      <w:pStyle w:val="a3"/>
      <w:bidi w:val="0"/>
      <w:jc w:val="right"/>
      <w:rPr>
        <w:sz w:val="16"/>
        <w:szCs w:val="16"/>
      </w:rPr>
    </w:pPr>
    <w:bookmarkStart w:id="6" w:name="footer_line"/>
    <w:bookmarkEnd w:id="6"/>
  </w:p>
  <w:p w:rsidR="001A4C3E" w:rsidRDefault="001A4C3E">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365" w:rsidRDefault="00F34365">
      <w:r>
        <w:separator/>
      </w:r>
    </w:p>
  </w:footnote>
  <w:footnote w:type="continuationSeparator" w:id="0">
    <w:p w:rsidR="00F34365" w:rsidRDefault="00F3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C3E" w:rsidRDefault="001A4C3E">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1A4C3E" w:rsidRDefault="001A4C3E">
    <w:pPr>
      <w:pStyle w:val="a5"/>
      <w:rPr>
        <w:rtl/>
      </w:rPr>
    </w:pPr>
  </w:p>
  <w:p w:rsidR="001A4C3E" w:rsidRDefault="001A4C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C3E" w:rsidRDefault="001A4C3E">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C53AE2">
      <w:rPr>
        <w:rStyle w:val="a4"/>
        <w:noProof/>
        <w:rtl/>
      </w:rPr>
      <w:t>21</w:t>
    </w:r>
    <w:r>
      <w:rPr>
        <w:rStyle w:val="a4"/>
        <w:rtl/>
      </w:rPr>
      <w:fldChar w:fldCharType="end"/>
    </w:r>
  </w:p>
  <w:p w:rsidR="001A4C3E" w:rsidRDefault="001A4C3E">
    <w:pPr>
      <w:pStyle w:val="a5"/>
      <w:rPr>
        <w:rtl/>
      </w:rPr>
    </w:pPr>
  </w:p>
  <w:p w:rsidR="001A4C3E" w:rsidRDefault="001A4C3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1A4C3E" w:rsidTr="00EC23AC">
      <w:trPr>
        <w:trHeight w:val="342"/>
      </w:trPr>
      <w:tc>
        <w:tcPr>
          <w:tcW w:w="9828" w:type="dxa"/>
        </w:tcPr>
        <w:p w:rsidR="001A4C3E" w:rsidRPr="002F7BB6" w:rsidRDefault="001A4C3E"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1A4C3E" w:rsidRDefault="001A4C3E"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4634A17C">
      <w:start w:val="1"/>
      <w:numFmt w:val="decimal"/>
      <w:pStyle w:val="Ruller4"/>
      <w:lvlText w:val="%1."/>
      <w:lvlJc w:val="left"/>
      <w:pPr>
        <w:tabs>
          <w:tab w:val="num" w:pos="907"/>
        </w:tabs>
        <w:ind w:left="0" w:firstLine="0"/>
      </w:pPr>
      <w:rPr>
        <w:rFonts w:hint="default"/>
      </w:rPr>
    </w:lvl>
    <w:lvl w:ilvl="1" w:tplc="C04CBD9C">
      <w:start w:val="1"/>
      <w:numFmt w:val="lowerLetter"/>
      <w:lvlText w:val="%2."/>
      <w:lvlJc w:val="left"/>
      <w:pPr>
        <w:tabs>
          <w:tab w:val="num" w:pos="1440"/>
        </w:tabs>
        <w:ind w:left="1440" w:hanging="360"/>
      </w:pPr>
    </w:lvl>
    <w:lvl w:ilvl="2" w:tplc="ABD470CC" w:tentative="1">
      <w:start w:val="1"/>
      <w:numFmt w:val="lowerRoman"/>
      <w:lvlText w:val="%3."/>
      <w:lvlJc w:val="right"/>
      <w:pPr>
        <w:tabs>
          <w:tab w:val="num" w:pos="2160"/>
        </w:tabs>
        <w:ind w:left="2160" w:hanging="180"/>
      </w:pPr>
    </w:lvl>
    <w:lvl w:ilvl="3" w:tplc="DBAE481A" w:tentative="1">
      <w:start w:val="1"/>
      <w:numFmt w:val="decimal"/>
      <w:lvlText w:val="%4."/>
      <w:lvlJc w:val="left"/>
      <w:pPr>
        <w:tabs>
          <w:tab w:val="num" w:pos="2880"/>
        </w:tabs>
        <w:ind w:left="2880" w:hanging="360"/>
      </w:pPr>
    </w:lvl>
    <w:lvl w:ilvl="4" w:tplc="5E74E3E4" w:tentative="1">
      <w:start w:val="1"/>
      <w:numFmt w:val="lowerLetter"/>
      <w:lvlText w:val="%5."/>
      <w:lvlJc w:val="left"/>
      <w:pPr>
        <w:tabs>
          <w:tab w:val="num" w:pos="3600"/>
        </w:tabs>
        <w:ind w:left="3600" w:hanging="360"/>
      </w:pPr>
    </w:lvl>
    <w:lvl w:ilvl="5" w:tplc="596C0750" w:tentative="1">
      <w:start w:val="1"/>
      <w:numFmt w:val="lowerRoman"/>
      <w:lvlText w:val="%6."/>
      <w:lvlJc w:val="right"/>
      <w:pPr>
        <w:tabs>
          <w:tab w:val="num" w:pos="4320"/>
        </w:tabs>
        <w:ind w:left="4320" w:hanging="180"/>
      </w:pPr>
    </w:lvl>
    <w:lvl w:ilvl="6" w:tplc="E5381858" w:tentative="1">
      <w:start w:val="1"/>
      <w:numFmt w:val="decimal"/>
      <w:lvlText w:val="%7."/>
      <w:lvlJc w:val="left"/>
      <w:pPr>
        <w:tabs>
          <w:tab w:val="num" w:pos="5040"/>
        </w:tabs>
        <w:ind w:left="5040" w:hanging="360"/>
      </w:pPr>
    </w:lvl>
    <w:lvl w:ilvl="7" w:tplc="582CF2E6" w:tentative="1">
      <w:start w:val="1"/>
      <w:numFmt w:val="lowerLetter"/>
      <w:lvlText w:val="%8."/>
      <w:lvlJc w:val="left"/>
      <w:pPr>
        <w:tabs>
          <w:tab w:val="num" w:pos="5760"/>
        </w:tabs>
        <w:ind w:left="5760" w:hanging="360"/>
      </w:pPr>
    </w:lvl>
    <w:lvl w:ilvl="8" w:tplc="EE26E2D8"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0348"/>
    <w:rsid w:val="00004652"/>
    <w:rsid w:val="000075E4"/>
    <w:rsid w:val="00016EF1"/>
    <w:rsid w:val="0002011A"/>
    <w:rsid w:val="000227EB"/>
    <w:rsid w:val="00032036"/>
    <w:rsid w:val="00036227"/>
    <w:rsid w:val="00044953"/>
    <w:rsid w:val="000452C8"/>
    <w:rsid w:val="00045B4D"/>
    <w:rsid w:val="00057721"/>
    <w:rsid w:val="00066AA7"/>
    <w:rsid w:val="000703C5"/>
    <w:rsid w:val="000725F5"/>
    <w:rsid w:val="00072AD2"/>
    <w:rsid w:val="00074A77"/>
    <w:rsid w:val="00077204"/>
    <w:rsid w:val="00082FD2"/>
    <w:rsid w:val="00085FDC"/>
    <w:rsid w:val="00092FA6"/>
    <w:rsid w:val="000977C5"/>
    <w:rsid w:val="000A0469"/>
    <w:rsid w:val="000A1B00"/>
    <w:rsid w:val="000B1478"/>
    <w:rsid w:val="000B45CF"/>
    <w:rsid w:val="000C4690"/>
    <w:rsid w:val="000C5875"/>
    <w:rsid w:val="000C5D2B"/>
    <w:rsid w:val="000D150A"/>
    <w:rsid w:val="000D25C4"/>
    <w:rsid w:val="000D4455"/>
    <w:rsid w:val="000E1CFD"/>
    <w:rsid w:val="000F0BFB"/>
    <w:rsid w:val="001047DF"/>
    <w:rsid w:val="001067FC"/>
    <w:rsid w:val="0010721B"/>
    <w:rsid w:val="00116131"/>
    <w:rsid w:val="001170F9"/>
    <w:rsid w:val="001232B1"/>
    <w:rsid w:val="00123EDA"/>
    <w:rsid w:val="0013088B"/>
    <w:rsid w:val="00134A67"/>
    <w:rsid w:val="00136843"/>
    <w:rsid w:val="00150029"/>
    <w:rsid w:val="001567E5"/>
    <w:rsid w:val="001576C1"/>
    <w:rsid w:val="00157CA6"/>
    <w:rsid w:val="00171909"/>
    <w:rsid w:val="00177C67"/>
    <w:rsid w:val="00180010"/>
    <w:rsid w:val="00182D2B"/>
    <w:rsid w:val="001947BE"/>
    <w:rsid w:val="001A0164"/>
    <w:rsid w:val="001A09B9"/>
    <w:rsid w:val="001A09F3"/>
    <w:rsid w:val="001A4C3E"/>
    <w:rsid w:val="001A67D3"/>
    <w:rsid w:val="001B2209"/>
    <w:rsid w:val="001B2821"/>
    <w:rsid w:val="001B32B4"/>
    <w:rsid w:val="001C272A"/>
    <w:rsid w:val="001C278A"/>
    <w:rsid w:val="001C285E"/>
    <w:rsid w:val="001D1E03"/>
    <w:rsid w:val="001D424F"/>
    <w:rsid w:val="001D5642"/>
    <w:rsid w:val="001E07CF"/>
    <w:rsid w:val="001F2B1B"/>
    <w:rsid w:val="001F6250"/>
    <w:rsid w:val="00200D6B"/>
    <w:rsid w:val="0020580A"/>
    <w:rsid w:val="0020653F"/>
    <w:rsid w:val="002149F7"/>
    <w:rsid w:val="002172C0"/>
    <w:rsid w:val="002265EC"/>
    <w:rsid w:val="0023761F"/>
    <w:rsid w:val="00237AA7"/>
    <w:rsid w:val="0024431E"/>
    <w:rsid w:val="00244771"/>
    <w:rsid w:val="002472EB"/>
    <w:rsid w:val="002502E0"/>
    <w:rsid w:val="00261DCE"/>
    <w:rsid w:val="0026414A"/>
    <w:rsid w:val="00265C00"/>
    <w:rsid w:val="00265F6E"/>
    <w:rsid w:val="00266497"/>
    <w:rsid w:val="0027456D"/>
    <w:rsid w:val="00282FB7"/>
    <w:rsid w:val="00284982"/>
    <w:rsid w:val="00286BD3"/>
    <w:rsid w:val="00286DE4"/>
    <w:rsid w:val="002876BF"/>
    <w:rsid w:val="002A4A7A"/>
    <w:rsid w:val="002A4BF3"/>
    <w:rsid w:val="002B1153"/>
    <w:rsid w:val="002C0E60"/>
    <w:rsid w:val="002C1EF3"/>
    <w:rsid w:val="002C3BFC"/>
    <w:rsid w:val="002D0E47"/>
    <w:rsid w:val="002F2CF5"/>
    <w:rsid w:val="002F4601"/>
    <w:rsid w:val="002F7BB6"/>
    <w:rsid w:val="003025E0"/>
    <w:rsid w:val="0030748C"/>
    <w:rsid w:val="003137BD"/>
    <w:rsid w:val="00326E00"/>
    <w:rsid w:val="00327473"/>
    <w:rsid w:val="00333417"/>
    <w:rsid w:val="003448B2"/>
    <w:rsid w:val="00351F96"/>
    <w:rsid w:val="00361DB2"/>
    <w:rsid w:val="00365810"/>
    <w:rsid w:val="00371137"/>
    <w:rsid w:val="00375832"/>
    <w:rsid w:val="0037622E"/>
    <w:rsid w:val="00377102"/>
    <w:rsid w:val="00377908"/>
    <w:rsid w:val="00381B92"/>
    <w:rsid w:val="003849BD"/>
    <w:rsid w:val="00385432"/>
    <w:rsid w:val="003907D0"/>
    <w:rsid w:val="00392715"/>
    <w:rsid w:val="0039709B"/>
    <w:rsid w:val="003973C2"/>
    <w:rsid w:val="003A7BD4"/>
    <w:rsid w:val="003B1928"/>
    <w:rsid w:val="003B49B8"/>
    <w:rsid w:val="003B6487"/>
    <w:rsid w:val="003B6788"/>
    <w:rsid w:val="003C23B1"/>
    <w:rsid w:val="003D0166"/>
    <w:rsid w:val="003D174F"/>
    <w:rsid w:val="003D41EE"/>
    <w:rsid w:val="003D72DA"/>
    <w:rsid w:val="003E5F79"/>
    <w:rsid w:val="003E61B5"/>
    <w:rsid w:val="003E661C"/>
    <w:rsid w:val="003E66B0"/>
    <w:rsid w:val="003F18C6"/>
    <w:rsid w:val="003F1F97"/>
    <w:rsid w:val="00401519"/>
    <w:rsid w:val="0041048F"/>
    <w:rsid w:val="00410BF8"/>
    <w:rsid w:val="004122E3"/>
    <w:rsid w:val="00412DB9"/>
    <w:rsid w:val="004140AE"/>
    <w:rsid w:val="004141FF"/>
    <w:rsid w:val="00420E9E"/>
    <w:rsid w:val="00435955"/>
    <w:rsid w:val="0043616A"/>
    <w:rsid w:val="00437D59"/>
    <w:rsid w:val="00441E0D"/>
    <w:rsid w:val="00460ABF"/>
    <w:rsid w:val="004610A4"/>
    <w:rsid w:val="00466B9D"/>
    <w:rsid w:val="004719C7"/>
    <w:rsid w:val="004748D2"/>
    <w:rsid w:val="0048258E"/>
    <w:rsid w:val="00486AA6"/>
    <w:rsid w:val="00490CFA"/>
    <w:rsid w:val="00495839"/>
    <w:rsid w:val="0049605B"/>
    <w:rsid w:val="004B17E5"/>
    <w:rsid w:val="004B29FF"/>
    <w:rsid w:val="004B2A92"/>
    <w:rsid w:val="004B2CA6"/>
    <w:rsid w:val="004B3308"/>
    <w:rsid w:val="004C7868"/>
    <w:rsid w:val="004D034F"/>
    <w:rsid w:val="004D4DB9"/>
    <w:rsid w:val="004F666D"/>
    <w:rsid w:val="0050285E"/>
    <w:rsid w:val="00502B70"/>
    <w:rsid w:val="00503A3E"/>
    <w:rsid w:val="005042A5"/>
    <w:rsid w:val="005060F7"/>
    <w:rsid w:val="00506337"/>
    <w:rsid w:val="00506D40"/>
    <w:rsid w:val="00513AE8"/>
    <w:rsid w:val="00517577"/>
    <w:rsid w:val="00520BB5"/>
    <w:rsid w:val="00520F5C"/>
    <w:rsid w:val="00521103"/>
    <w:rsid w:val="00523E36"/>
    <w:rsid w:val="00527F02"/>
    <w:rsid w:val="00530F44"/>
    <w:rsid w:val="0054667D"/>
    <w:rsid w:val="0055052F"/>
    <w:rsid w:val="00553097"/>
    <w:rsid w:val="00553243"/>
    <w:rsid w:val="00554583"/>
    <w:rsid w:val="005551E8"/>
    <w:rsid w:val="005561B0"/>
    <w:rsid w:val="0055790E"/>
    <w:rsid w:val="00562C4B"/>
    <w:rsid w:val="005660DA"/>
    <w:rsid w:val="00576F5C"/>
    <w:rsid w:val="005803E2"/>
    <w:rsid w:val="0058440A"/>
    <w:rsid w:val="00585DAC"/>
    <w:rsid w:val="0058747C"/>
    <w:rsid w:val="00591983"/>
    <w:rsid w:val="005B6C93"/>
    <w:rsid w:val="005C1A55"/>
    <w:rsid w:val="005C356F"/>
    <w:rsid w:val="005C6189"/>
    <w:rsid w:val="005C66CD"/>
    <w:rsid w:val="005D17BF"/>
    <w:rsid w:val="005D7A26"/>
    <w:rsid w:val="005E01D6"/>
    <w:rsid w:val="005E4DC1"/>
    <w:rsid w:val="005E588C"/>
    <w:rsid w:val="0061153F"/>
    <w:rsid w:val="00617FA1"/>
    <w:rsid w:val="00623E16"/>
    <w:rsid w:val="006246BC"/>
    <w:rsid w:val="00624A42"/>
    <w:rsid w:val="00637A4A"/>
    <w:rsid w:val="00641910"/>
    <w:rsid w:val="006444C2"/>
    <w:rsid w:val="0065522F"/>
    <w:rsid w:val="00662464"/>
    <w:rsid w:val="0068014E"/>
    <w:rsid w:val="00685C2C"/>
    <w:rsid w:val="006A30F7"/>
    <w:rsid w:val="006B31FC"/>
    <w:rsid w:val="006B5C9A"/>
    <w:rsid w:val="006B6E3A"/>
    <w:rsid w:val="006C1A48"/>
    <w:rsid w:val="006C42AD"/>
    <w:rsid w:val="006C4579"/>
    <w:rsid w:val="006D135B"/>
    <w:rsid w:val="006D4FB6"/>
    <w:rsid w:val="006E6B21"/>
    <w:rsid w:val="006F1EB8"/>
    <w:rsid w:val="006F273F"/>
    <w:rsid w:val="00705347"/>
    <w:rsid w:val="00710F23"/>
    <w:rsid w:val="00714178"/>
    <w:rsid w:val="007220A1"/>
    <w:rsid w:val="00724F53"/>
    <w:rsid w:val="00725345"/>
    <w:rsid w:val="00740FBA"/>
    <w:rsid w:val="00741CC0"/>
    <w:rsid w:val="00744135"/>
    <w:rsid w:val="00755B8A"/>
    <w:rsid w:val="00770CB1"/>
    <w:rsid w:val="0077792B"/>
    <w:rsid w:val="00777BEE"/>
    <w:rsid w:val="00793525"/>
    <w:rsid w:val="007957E1"/>
    <w:rsid w:val="00796465"/>
    <w:rsid w:val="007965D7"/>
    <w:rsid w:val="007A2C4F"/>
    <w:rsid w:val="007A7346"/>
    <w:rsid w:val="007B13F6"/>
    <w:rsid w:val="007B1543"/>
    <w:rsid w:val="007B439C"/>
    <w:rsid w:val="007B4444"/>
    <w:rsid w:val="007B512F"/>
    <w:rsid w:val="007C02A8"/>
    <w:rsid w:val="007C0F0D"/>
    <w:rsid w:val="007C1CAC"/>
    <w:rsid w:val="007C2DCD"/>
    <w:rsid w:val="007C52FD"/>
    <w:rsid w:val="007C75A3"/>
    <w:rsid w:val="007D1D3B"/>
    <w:rsid w:val="007F7512"/>
    <w:rsid w:val="0080172C"/>
    <w:rsid w:val="0080202D"/>
    <w:rsid w:val="00810894"/>
    <w:rsid w:val="00813A06"/>
    <w:rsid w:val="008143AB"/>
    <w:rsid w:val="00821BA2"/>
    <w:rsid w:val="0083345F"/>
    <w:rsid w:val="0083485C"/>
    <w:rsid w:val="00836667"/>
    <w:rsid w:val="00850553"/>
    <w:rsid w:val="00852A0D"/>
    <w:rsid w:val="00853E5C"/>
    <w:rsid w:val="00855500"/>
    <w:rsid w:val="00856618"/>
    <w:rsid w:val="00866D0F"/>
    <w:rsid w:val="00870E8A"/>
    <w:rsid w:val="0087308E"/>
    <w:rsid w:val="00885723"/>
    <w:rsid w:val="00885773"/>
    <w:rsid w:val="008878AE"/>
    <w:rsid w:val="008976AF"/>
    <w:rsid w:val="00897D14"/>
    <w:rsid w:val="008A5DFB"/>
    <w:rsid w:val="008A76B8"/>
    <w:rsid w:val="008C2F11"/>
    <w:rsid w:val="008D5508"/>
    <w:rsid w:val="008D78B9"/>
    <w:rsid w:val="008E3F85"/>
    <w:rsid w:val="008E6345"/>
    <w:rsid w:val="008F16B9"/>
    <w:rsid w:val="008F1722"/>
    <w:rsid w:val="008F361B"/>
    <w:rsid w:val="008F378E"/>
    <w:rsid w:val="008F5C80"/>
    <w:rsid w:val="00901F24"/>
    <w:rsid w:val="00902A0E"/>
    <w:rsid w:val="009030E6"/>
    <w:rsid w:val="009051E8"/>
    <w:rsid w:val="00905BAA"/>
    <w:rsid w:val="00914156"/>
    <w:rsid w:val="009142E8"/>
    <w:rsid w:val="009145AD"/>
    <w:rsid w:val="00915F92"/>
    <w:rsid w:val="00916FF8"/>
    <w:rsid w:val="009176ED"/>
    <w:rsid w:val="00922093"/>
    <w:rsid w:val="0092476F"/>
    <w:rsid w:val="00926975"/>
    <w:rsid w:val="00926EC8"/>
    <w:rsid w:val="00927313"/>
    <w:rsid w:val="00930C85"/>
    <w:rsid w:val="00933460"/>
    <w:rsid w:val="00943CC4"/>
    <w:rsid w:val="009441C0"/>
    <w:rsid w:val="00945A4A"/>
    <w:rsid w:val="00945C9B"/>
    <w:rsid w:val="00952BE7"/>
    <w:rsid w:val="00952EA8"/>
    <w:rsid w:val="009643A5"/>
    <w:rsid w:val="009669BB"/>
    <w:rsid w:val="009841B3"/>
    <w:rsid w:val="00991AA7"/>
    <w:rsid w:val="009922E5"/>
    <w:rsid w:val="0099278C"/>
    <w:rsid w:val="009B0D7D"/>
    <w:rsid w:val="009B38DA"/>
    <w:rsid w:val="009B7AC3"/>
    <w:rsid w:val="009C566F"/>
    <w:rsid w:val="009D2BF3"/>
    <w:rsid w:val="009D3E48"/>
    <w:rsid w:val="009D6089"/>
    <w:rsid w:val="009D77EF"/>
    <w:rsid w:val="009E27FC"/>
    <w:rsid w:val="009E2F73"/>
    <w:rsid w:val="009E3B0A"/>
    <w:rsid w:val="009E54F2"/>
    <w:rsid w:val="009F2F53"/>
    <w:rsid w:val="009F2FB7"/>
    <w:rsid w:val="009F34BC"/>
    <w:rsid w:val="009F4187"/>
    <w:rsid w:val="009F436D"/>
    <w:rsid w:val="009F53DB"/>
    <w:rsid w:val="009F6228"/>
    <w:rsid w:val="00A01C07"/>
    <w:rsid w:val="00A04C3A"/>
    <w:rsid w:val="00A06F36"/>
    <w:rsid w:val="00A07D17"/>
    <w:rsid w:val="00A11493"/>
    <w:rsid w:val="00A12E0F"/>
    <w:rsid w:val="00A20101"/>
    <w:rsid w:val="00A20947"/>
    <w:rsid w:val="00A23CED"/>
    <w:rsid w:val="00A24571"/>
    <w:rsid w:val="00A266C0"/>
    <w:rsid w:val="00A2771E"/>
    <w:rsid w:val="00A347E3"/>
    <w:rsid w:val="00A36CDF"/>
    <w:rsid w:val="00A42573"/>
    <w:rsid w:val="00A502BE"/>
    <w:rsid w:val="00A5129A"/>
    <w:rsid w:val="00A51FAE"/>
    <w:rsid w:val="00A76107"/>
    <w:rsid w:val="00A80845"/>
    <w:rsid w:val="00A94843"/>
    <w:rsid w:val="00AA1667"/>
    <w:rsid w:val="00AA38A7"/>
    <w:rsid w:val="00AA4DFD"/>
    <w:rsid w:val="00AA7653"/>
    <w:rsid w:val="00AB4D91"/>
    <w:rsid w:val="00AB69F7"/>
    <w:rsid w:val="00AC054A"/>
    <w:rsid w:val="00AC529E"/>
    <w:rsid w:val="00AD097B"/>
    <w:rsid w:val="00AD64B9"/>
    <w:rsid w:val="00AD6711"/>
    <w:rsid w:val="00AE022B"/>
    <w:rsid w:val="00AE3442"/>
    <w:rsid w:val="00AF127B"/>
    <w:rsid w:val="00AF56B0"/>
    <w:rsid w:val="00AF5F12"/>
    <w:rsid w:val="00B009CC"/>
    <w:rsid w:val="00B04528"/>
    <w:rsid w:val="00B0782A"/>
    <w:rsid w:val="00B14938"/>
    <w:rsid w:val="00B2680F"/>
    <w:rsid w:val="00B27B11"/>
    <w:rsid w:val="00B3297A"/>
    <w:rsid w:val="00B426B5"/>
    <w:rsid w:val="00B446A0"/>
    <w:rsid w:val="00B454B2"/>
    <w:rsid w:val="00B533A5"/>
    <w:rsid w:val="00B5495E"/>
    <w:rsid w:val="00B60274"/>
    <w:rsid w:val="00B62B8C"/>
    <w:rsid w:val="00B63343"/>
    <w:rsid w:val="00B635D5"/>
    <w:rsid w:val="00B7651B"/>
    <w:rsid w:val="00B84F38"/>
    <w:rsid w:val="00B87FF7"/>
    <w:rsid w:val="00B9123D"/>
    <w:rsid w:val="00B96635"/>
    <w:rsid w:val="00BA0B08"/>
    <w:rsid w:val="00BB268B"/>
    <w:rsid w:val="00BB32B7"/>
    <w:rsid w:val="00BB7118"/>
    <w:rsid w:val="00BC0E82"/>
    <w:rsid w:val="00BC31ED"/>
    <w:rsid w:val="00BC4AAF"/>
    <w:rsid w:val="00BC6DD9"/>
    <w:rsid w:val="00BC74DE"/>
    <w:rsid w:val="00BD40F9"/>
    <w:rsid w:val="00BE00ED"/>
    <w:rsid w:val="00BE5324"/>
    <w:rsid w:val="00BE7FDC"/>
    <w:rsid w:val="00C015D8"/>
    <w:rsid w:val="00C12EFE"/>
    <w:rsid w:val="00C1305E"/>
    <w:rsid w:val="00C22134"/>
    <w:rsid w:val="00C3010E"/>
    <w:rsid w:val="00C35038"/>
    <w:rsid w:val="00C35AEF"/>
    <w:rsid w:val="00C40576"/>
    <w:rsid w:val="00C41C86"/>
    <w:rsid w:val="00C457E4"/>
    <w:rsid w:val="00C45F5B"/>
    <w:rsid w:val="00C47C7A"/>
    <w:rsid w:val="00C53AE2"/>
    <w:rsid w:val="00C63A6C"/>
    <w:rsid w:val="00C674C3"/>
    <w:rsid w:val="00C73C63"/>
    <w:rsid w:val="00C832F1"/>
    <w:rsid w:val="00C84317"/>
    <w:rsid w:val="00C958E1"/>
    <w:rsid w:val="00CA13AF"/>
    <w:rsid w:val="00CA1444"/>
    <w:rsid w:val="00CA3B78"/>
    <w:rsid w:val="00CA4424"/>
    <w:rsid w:val="00CA46B8"/>
    <w:rsid w:val="00CA6031"/>
    <w:rsid w:val="00CA6A45"/>
    <w:rsid w:val="00CA7A36"/>
    <w:rsid w:val="00CA7A5C"/>
    <w:rsid w:val="00CB1590"/>
    <w:rsid w:val="00CB1CD0"/>
    <w:rsid w:val="00CB4ABF"/>
    <w:rsid w:val="00CB7600"/>
    <w:rsid w:val="00CC0E9D"/>
    <w:rsid w:val="00CC3639"/>
    <w:rsid w:val="00CD0E5A"/>
    <w:rsid w:val="00CD1670"/>
    <w:rsid w:val="00CD27E0"/>
    <w:rsid w:val="00CE0918"/>
    <w:rsid w:val="00CE5262"/>
    <w:rsid w:val="00CE5560"/>
    <w:rsid w:val="00CE70EA"/>
    <w:rsid w:val="00CE7147"/>
    <w:rsid w:val="00CF542F"/>
    <w:rsid w:val="00CF65A0"/>
    <w:rsid w:val="00CF7288"/>
    <w:rsid w:val="00D00B1D"/>
    <w:rsid w:val="00D00CB7"/>
    <w:rsid w:val="00D0445E"/>
    <w:rsid w:val="00D20339"/>
    <w:rsid w:val="00D23ED1"/>
    <w:rsid w:val="00D25F16"/>
    <w:rsid w:val="00D31B5F"/>
    <w:rsid w:val="00D473C0"/>
    <w:rsid w:val="00D473F3"/>
    <w:rsid w:val="00D52660"/>
    <w:rsid w:val="00D53299"/>
    <w:rsid w:val="00D5438D"/>
    <w:rsid w:val="00D562C7"/>
    <w:rsid w:val="00D56913"/>
    <w:rsid w:val="00D6693A"/>
    <w:rsid w:val="00D6705F"/>
    <w:rsid w:val="00D76DC8"/>
    <w:rsid w:val="00D826FB"/>
    <w:rsid w:val="00D87088"/>
    <w:rsid w:val="00D90D46"/>
    <w:rsid w:val="00D969F0"/>
    <w:rsid w:val="00DB0CEA"/>
    <w:rsid w:val="00DB5C46"/>
    <w:rsid w:val="00DC6ACB"/>
    <w:rsid w:val="00DD320E"/>
    <w:rsid w:val="00DD482B"/>
    <w:rsid w:val="00DD536B"/>
    <w:rsid w:val="00DE12ED"/>
    <w:rsid w:val="00DE46F1"/>
    <w:rsid w:val="00DE637E"/>
    <w:rsid w:val="00DF50E1"/>
    <w:rsid w:val="00E11B0C"/>
    <w:rsid w:val="00E2080B"/>
    <w:rsid w:val="00E21CA9"/>
    <w:rsid w:val="00E2202F"/>
    <w:rsid w:val="00E25FB9"/>
    <w:rsid w:val="00E26F07"/>
    <w:rsid w:val="00E3032D"/>
    <w:rsid w:val="00E31063"/>
    <w:rsid w:val="00E34848"/>
    <w:rsid w:val="00E36FE9"/>
    <w:rsid w:val="00E42FFB"/>
    <w:rsid w:val="00E470E1"/>
    <w:rsid w:val="00E56204"/>
    <w:rsid w:val="00E574BA"/>
    <w:rsid w:val="00E617A7"/>
    <w:rsid w:val="00E73E98"/>
    <w:rsid w:val="00E75223"/>
    <w:rsid w:val="00E767E6"/>
    <w:rsid w:val="00E76A94"/>
    <w:rsid w:val="00E90D72"/>
    <w:rsid w:val="00E9553A"/>
    <w:rsid w:val="00EA0234"/>
    <w:rsid w:val="00EA0BE1"/>
    <w:rsid w:val="00EB051B"/>
    <w:rsid w:val="00EB1925"/>
    <w:rsid w:val="00EB2E48"/>
    <w:rsid w:val="00EC024B"/>
    <w:rsid w:val="00EC0F32"/>
    <w:rsid w:val="00EC23AC"/>
    <w:rsid w:val="00EC2992"/>
    <w:rsid w:val="00ED0262"/>
    <w:rsid w:val="00ED07DF"/>
    <w:rsid w:val="00ED0A71"/>
    <w:rsid w:val="00ED46A4"/>
    <w:rsid w:val="00ED63D4"/>
    <w:rsid w:val="00ED6FD9"/>
    <w:rsid w:val="00EE3810"/>
    <w:rsid w:val="00EE6B2D"/>
    <w:rsid w:val="00EE6CD5"/>
    <w:rsid w:val="00EF02A5"/>
    <w:rsid w:val="00EF22C8"/>
    <w:rsid w:val="00F03E1B"/>
    <w:rsid w:val="00F13C15"/>
    <w:rsid w:val="00F1424F"/>
    <w:rsid w:val="00F153BF"/>
    <w:rsid w:val="00F170A7"/>
    <w:rsid w:val="00F22076"/>
    <w:rsid w:val="00F335B4"/>
    <w:rsid w:val="00F34365"/>
    <w:rsid w:val="00F3684C"/>
    <w:rsid w:val="00F41DF9"/>
    <w:rsid w:val="00F46A6B"/>
    <w:rsid w:val="00F529A0"/>
    <w:rsid w:val="00F53252"/>
    <w:rsid w:val="00F55CCD"/>
    <w:rsid w:val="00F619DC"/>
    <w:rsid w:val="00F63C3B"/>
    <w:rsid w:val="00F7243F"/>
    <w:rsid w:val="00F730BC"/>
    <w:rsid w:val="00F73375"/>
    <w:rsid w:val="00F73AD3"/>
    <w:rsid w:val="00F77DED"/>
    <w:rsid w:val="00F83E76"/>
    <w:rsid w:val="00F84251"/>
    <w:rsid w:val="00F90557"/>
    <w:rsid w:val="00F959DB"/>
    <w:rsid w:val="00F96D76"/>
    <w:rsid w:val="00FA1183"/>
    <w:rsid w:val="00FA51E7"/>
    <w:rsid w:val="00FB6D30"/>
    <w:rsid w:val="00FC0252"/>
    <w:rsid w:val="00FC06CA"/>
    <w:rsid w:val="00FC1E3C"/>
    <w:rsid w:val="00FC3496"/>
    <w:rsid w:val="00FC7CBC"/>
    <w:rsid w:val="00FD6557"/>
    <w:rsid w:val="00FD7681"/>
    <w:rsid w:val="00FE5B16"/>
    <w:rsid w:val="00FE7BA1"/>
    <w:rsid w:val="00FF6FE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733508B-D12D-4262-AF01-FEA53782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0">
    <w:name w:val="Ruller4"/>
    <w:basedOn w:val="a"/>
    <w:link w:val="Ruller41"/>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0"/>
    <w:next w:val="Ruller40"/>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0"/>
    <w:next w:val="Ruller40"/>
    <w:rsid w:val="00DF50E1"/>
    <w:pPr>
      <w:numPr>
        <w:numId w:val="11"/>
      </w:numPr>
    </w:pPr>
    <w:rPr>
      <w:rFonts w:ascii="Garamond" w:hAnsi="Garamond"/>
      <w:sz w:val="24"/>
    </w:rPr>
  </w:style>
  <w:style w:type="character" w:customStyle="1" w:styleId="Ruller41">
    <w:name w:val="Ruller4 תו"/>
    <w:basedOn w:val="a0"/>
    <w:link w:val="Ruller40"/>
    <w:locked/>
    <w:rsid w:val="00DF50E1"/>
    <w:rPr>
      <w:rFonts w:ascii="Arial TUR" w:hAnsi="Arial TUR" w:cs="FrankRuehl"/>
      <w:spacing w:val="10"/>
      <w:sz w:val="22"/>
      <w:szCs w:val="28"/>
    </w:rPr>
  </w:style>
  <w:style w:type="paragraph" w:customStyle="1" w:styleId="listparagraph">
    <w:name w:val="listparagraph"/>
    <w:basedOn w:val="a"/>
    <w:rsid w:val="008A76B8"/>
    <w:pPr>
      <w:overflowPunct/>
      <w:autoSpaceDE/>
      <w:autoSpaceDN/>
      <w:bidi w:val="0"/>
      <w:adjustRightInd/>
      <w:spacing w:before="100" w:beforeAutospacing="1" w:after="100" w:afterAutospacing="1"/>
      <w:textAlignment w:val="auto"/>
    </w:pPr>
    <w:rPr>
      <w:rFonts w:cs="Times New Roman"/>
      <w:sz w:val="24"/>
    </w:rPr>
  </w:style>
  <w:style w:type="paragraph" w:customStyle="1" w:styleId="ruller400">
    <w:name w:val="ruller40"/>
    <w:basedOn w:val="a"/>
    <w:rsid w:val="009643A5"/>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422128">
      <w:bodyDiv w:val="1"/>
      <w:marLeft w:val="0"/>
      <w:marRight w:val="0"/>
      <w:marTop w:val="0"/>
      <w:marBottom w:val="0"/>
      <w:divBdr>
        <w:top w:val="none" w:sz="0" w:space="0" w:color="auto"/>
        <w:left w:val="none" w:sz="0" w:space="0" w:color="auto"/>
        <w:bottom w:val="none" w:sz="0" w:space="0" w:color="auto"/>
        <w:right w:val="none" w:sz="0" w:space="0" w:color="auto"/>
      </w:divBdr>
    </w:div>
    <w:div w:id="654649342">
      <w:bodyDiv w:val="1"/>
      <w:marLeft w:val="0"/>
      <w:marRight w:val="0"/>
      <w:marTop w:val="0"/>
      <w:marBottom w:val="0"/>
      <w:divBdr>
        <w:top w:val="none" w:sz="0" w:space="0" w:color="auto"/>
        <w:left w:val="none" w:sz="0" w:space="0" w:color="auto"/>
        <w:bottom w:val="none" w:sz="0" w:space="0" w:color="auto"/>
        <w:right w:val="none" w:sz="0" w:space="0" w:color="auto"/>
      </w:divBdr>
    </w:div>
    <w:div w:id="1019966169">
      <w:bodyDiv w:val="1"/>
      <w:marLeft w:val="0"/>
      <w:marRight w:val="0"/>
      <w:marTop w:val="0"/>
      <w:marBottom w:val="0"/>
      <w:divBdr>
        <w:top w:val="none" w:sz="0" w:space="0" w:color="auto"/>
        <w:left w:val="none" w:sz="0" w:space="0" w:color="auto"/>
        <w:bottom w:val="none" w:sz="0" w:space="0" w:color="auto"/>
        <w:right w:val="none" w:sz="0" w:space="0" w:color="auto"/>
      </w:divBdr>
    </w:div>
    <w:div w:id="1577205055">
      <w:bodyDiv w:val="1"/>
      <w:marLeft w:val="0"/>
      <w:marRight w:val="0"/>
      <w:marTop w:val="0"/>
      <w:marBottom w:val="0"/>
      <w:divBdr>
        <w:top w:val="none" w:sz="0" w:space="0" w:color="auto"/>
        <w:left w:val="none" w:sz="0" w:space="0" w:color="auto"/>
        <w:bottom w:val="none" w:sz="0" w:space="0" w:color="auto"/>
        <w:right w:val="none" w:sz="0" w:space="0" w:color="auto"/>
      </w:divBdr>
    </w:div>
    <w:div w:id="16083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supreme.court.gov.il" TargetMode="External"/><Relationship Id="rId4" Type="http://schemas.openxmlformats.org/officeDocument/2006/relationships/styles" Target="styles.xml"/><Relationship Id="rId9" Type="http://schemas.openxmlformats.org/officeDocument/2006/relationships/hyperlink" Target="https://www.nevo.co.il/psika_html/elyon/KE-1-281-L.ht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ACF7F-89BD-4C4D-9DB3-8256E4B7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6216</Words>
  <Characters>31081</Characters>
  <Application>Microsoft Office Word</Application>
  <DocSecurity>0</DocSecurity>
  <Lines>259</Lines>
  <Paragraphs>74</Paragraphs>
  <ScaleCrop>false</ScaleCrop>
  <HeadingPairs>
    <vt:vector size="2" baseType="variant">
      <vt:variant>
        <vt:lpstr>שם</vt:lpstr>
      </vt:variant>
      <vt:variant>
        <vt:i4>1</vt:i4>
      </vt:variant>
    </vt:vector>
  </HeadingPairs>
  <TitlesOfParts>
    <vt:vector size="1" baseType="lpstr">
      <vt:lpstr>פסק-דין בתיק ע"פ  3992/22</vt:lpstr>
    </vt:vector>
  </TitlesOfParts>
  <Company>supreme court of israel</Company>
  <LinksUpToDate>false</LinksUpToDate>
  <CharactersWithSpaces>37223</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ע"פ  3992/22</dc:title>
  <dc:subject/>
  <dc:creator>Administrator</dc:creator>
  <cp:keywords/>
  <dc:description/>
  <cp:lastModifiedBy>אסתר טטרואשילי</cp:lastModifiedBy>
  <cp:revision>2</cp:revision>
  <cp:lastPrinted>2023-04-24T07:27:00Z</cp:lastPrinted>
  <dcterms:created xsi:type="dcterms:W3CDTF">2023-05-09T10:19:00Z</dcterms:created>
  <dcterms:modified xsi:type="dcterms:W3CDTF">2023-05-09T10:19:00Z</dcterms:modified>
</cp:coreProperties>
</file>